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F412" w14:textId="43257302" w:rsidR="00E17AB0" w:rsidRPr="00C862C2" w:rsidRDefault="00E17AB0" w:rsidP="00C862C2">
      <w:pPr>
        <w:spacing w:after="0" w:line="240" w:lineRule="auto"/>
        <w:jc w:val="center"/>
        <w:rPr>
          <w:rFonts w:ascii="Times New Roman" w:eastAsia="Times New Roman" w:hAnsi="Times New Roman" w:cs="Times New Roman"/>
          <w:b/>
          <w:bCs/>
          <w:sz w:val="28"/>
          <w:szCs w:val="28"/>
          <w:rtl/>
        </w:rPr>
      </w:pPr>
      <w:r w:rsidRPr="00C862C2">
        <w:rPr>
          <w:rFonts w:ascii="Times New Roman" w:eastAsia="Times New Roman" w:hAnsi="Times New Roman" w:cs="Times New Roman"/>
          <w:b/>
          <w:bCs/>
          <w:sz w:val="28"/>
          <w:szCs w:val="28"/>
        </w:rPr>
        <w:t xml:space="preserve">Environmental Disclosure </w:t>
      </w:r>
      <w:proofErr w:type="gramStart"/>
      <w:r w:rsidR="00C862C2" w:rsidRPr="00C862C2">
        <w:rPr>
          <w:rFonts w:ascii="Times New Roman" w:eastAsia="Times New Roman" w:hAnsi="Times New Roman" w:cs="Times New Roman"/>
          <w:b/>
          <w:bCs/>
          <w:sz w:val="28"/>
          <w:szCs w:val="28"/>
        </w:rPr>
        <w:t>And</w:t>
      </w:r>
      <w:proofErr w:type="gramEnd"/>
      <w:r w:rsidR="00C862C2" w:rsidRPr="00C862C2">
        <w:rPr>
          <w:rFonts w:ascii="Times New Roman" w:eastAsia="Times New Roman" w:hAnsi="Times New Roman" w:cs="Times New Roman"/>
          <w:b/>
          <w:bCs/>
          <w:sz w:val="28"/>
          <w:szCs w:val="28"/>
        </w:rPr>
        <w:t xml:space="preserve"> </w:t>
      </w:r>
      <w:r w:rsidRPr="00C862C2">
        <w:rPr>
          <w:rFonts w:ascii="Times New Roman" w:eastAsia="Times New Roman" w:hAnsi="Times New Roman" w:cs="Times New Roman"/>
          <w:b/>
          <w:bCs/>
          <w:sz w:val="28"/>
          <w:szCs w:val="28"/>
        </w:rPr>
        <w:t xml:space="preserve">Accounting Conservatism Considering Different Stages </w:t>
      </w:r>
      <w:proofErr w:type="gramStart"/>
      <w:r w:rsidR="00C862C2" w:rsidRPr="00C862C2">
        <w:rPr>
          <w:rFonts w:ascii="Times New Roman" w:eastAsia="Times New Roman" w:hAnsi="Times New Roman" w:cs="Times New Roman"/>
          <w:b/>
          <w:bCs/>
          <w:sz w:val="28"/>
          <w:szCs w:val="28"/>
        </w:rPr>
        <w:t>Of</w:t>
      </w:r>
      <w:proofErr w:type="gramEnd"/>
      <w:r w:rsidR="00C862C2" w:rsidRPr="00C862C2">
        <w:rPr>
          <w:rFonts w:ascii="Times New Roman" w:eastAsia="Times New Roman" w:hAnsi="Times New Roman" w:cs="Times New Roman"/>
          <w:b/>
          <w:bCs/>
          <w:sz w:val="28"/>
          <w:szCs w:val="28"/>
        </w:rPr>
        <w:t xml:space="preserve"> </w:t>
      </w:r>
      <w:proofErr w:type="gramStart"/>
      <w:r w:rsidR="00C862C2" w:rsidRPr="00C862C2">
        <w:rPr>
          <w:rFonts w:ascii="Times New Roman" w:eastAsia="Times New Roman" w:hAnsi="Times New Roman" w:cs="Times New Roman"/>
          <w:b/>
          <w:bCs/>
          <w:sz w:val="28"/>
          <w:szCs w:val="28"/>
        </w:rPr>
        <w:t>The</w:t>
      </w:r>
      <w:proofErr w:type="gramEnd"/>
      <w:r w:rsidR="00C862C2" w:rsidRPr="00C862C2">
        <w:rPr>
          <w:rFonts w:ascii="Times New Roman" w:eastAsia="Times New Roman" w:hAnsi="Times New Roman" w:cs="Times New Roman"/>
          <w:b/>
          <w:bCs/>
          <w:sz w:val="28"/>
          <w:szCs w:val="28"/>
        </w:rPr>
        <w:t xml:space="preserve"> </w:t>
      </w:r>
      <w:r w:rsidRPr="00C862C2">
        <w:rPr>
          <w:rFonts w:ascii="Times New Roman" w:eastAsia="Times New Roman" w:hAnsi="Times New Roman" w:cs="Times New Roman"/>
          <w:b/>
          <w:bCs/>
          <w:sz w:val="28"/>
          <w:szCs w:val="28"/>
        </w:rPr>
        <w:t>Corporate Life Cycle</w:t>
      </w:r>
    </w:p>
    <w:p w14:paraId="130D59C0" w14:textId="77777777" w:rsidR="00430839" w:rsidRDefault="00430839" w:rsidP="00C862C2">
      <w:pPr>
        <w:spacing w:after="0" w:line="240" w:lineRule="auto"/>
        <w:jc w:val="center"/>
        <w:rPr>
          <w:rFonts w:ascii="Times New Roman" w:eastAsia="Times New Roman" w:hAnsi="Times New Roman" w:cs="Times New Roman"/>
          <w:b/>
          <w:bCs/>
        </w:rPr>
      </w:pPr>
    </w:p>
    <w:p w14:paraId="4D3DC5DD" w14:textId="77777777" w:rsidR="00C862C2" w:rsidRPr="00C862C2" w:rsidRDefault="00C862C2" w:rsidP="00C862C2">
      <w:pPr>
        <w:spacing w:after="0" w:line="240" w:lineRule="auto"/>
        <w:jc w:val="center"/>
        <w:rPr>
          <w:rFonts w:ascii="Times New Roman" w:eastAsia="Times New Roman" w:hAnsi="Times New Roman" w:cs="Times New Roman"/>
          <w:b/>
          <w:bCs/>
          <w:rtl/>
        </w:rPr>
      </w:pPr>
    </w:p>
    <w:p w14:paraId="02A22116" w14:textId="23AFC562" w:rsidR="00430839" w:rsidRPr="00C862C2" w:rsidRDefault="00C862C2" w:rsidP="00C862C2">
      <w:pPr>
        <w:spacing w:after="0" w:line="240" w:lineRule="auto"/>
        <w:jc w:val="center"/>
        <w:rPr>
          <w:rFonts w:ascii="Times New Roman" w:eastAsia="Calibri" w:hAnsi="Times New Roman" w:cs="Times New Roman"/>
          <w:bCs/>
          <w:kern w:val="2"/>
          <w:vertAlign w:val="superscript"/>
          <w:lang w:val="es-ES" w:bidi="fa-IR"/>
          <w14:ligatures w14:val="standardContextual"/>
        </w:rPr>
      </w:pPr>
      <w:bookmarkStart w:id="0" w:name="_Hlk171855006"/>
      <w:r w:rsidRPr="00C862C2">
        <w:rPr>
          <w:rFonts w:ascii="Times New Roman" w:eastAsia="Calibri" w:hAnsi="Times New Roman" w:cs="Times New Roman"/>
          <w:bCs/>
          <w:kern w:val="2"/>
          <w:lang w:val="es-ES" w:bidi="fa-IR"/>
          <w14:ligatures w14:val="standardContextual"/>
        </w:rPr>
        <w:t xml:space="preserve">Sahar </w:t>
      </w:r>
      <w:proofErr w:type="spellStart"/>
      <w:r w:rsidRPr="00C862C2">
        <w:rPr>
          <w:rFonts w:ascii="Times New Roman" w:eastAsia="Calibri" w:hAnsi="Times New Roman" w:cs="Times New Roman"/>
          <w:bCs/>
          <w:kern w:val="2"/>
          <w:lang w:val="es-ES" w:bidi="fa-IR"/>
          <w14:ligatures w14:val="standardContextual"/>
        </w:rPr>
        <w:t>Mojaverrostami</w:t>
      </w:r>
      <w:proofErr w:type="spellEnd"/>
      <w:r w:rsidRPr="00C862C2">
        <w:rPr>
          <w:rFonts w:ascii="Times New Roman" w:eastAsia="Calibri" w:hAnsi="Times New Roman" w:cs="Times New Roman"/>
          <w:bCs/>
          <w:kern w:val="2"/>
          <w:vertAlign w:val="superscript"/>
          <w:lang w:val="es-ES"/>
          <w14:ligatures w14:val="standardContextual"/>
        </w:rPr>
        <w:t xml:space="preserve"> </w:t>
      </w:r>
      <w:bookmarkEnd w:id="0"/>
      <w:r w:rsidRPr="00C862C2">
        <w:rPr>
          <w:rFonts w:ascii="Times New Roman" w:eastAsia="Calibri" w:hAnsi="Times New Roman" w:cs="Times New Roman"/>
          <w:bCs/>
          <w:kern w:val="2"/>
          <w:vertAlign w:val="superscript"/>
          <w14:ligatures w14:val="standardContextual"/>
        </w:rPr>
        <w:t>1*</w:t>
      </w:r>
      <w:r w:rsidRPr="00C862C2">
        <w:rPr>
          <w:rFonts w:ascii="Times New Roman" w:eastAsia="Calibri" w:hAnsi="Times New Roman" w:cs="Times New Roman"/>
          <w:bCs/>
          <w:kern w:val="2"/>
          <w:lang w:val="es-ES" w:bidi="fa-IR"/>
          <w14:ligatures w14:val="standardContextual"/>
        </w:rPr>
        <w:t xml:space="preserve">, </w:t>
      </w:r>
      <w:bookmarkStart w:id="1" w:name="_Hlk171855049"/>
      <w:r w:rsidRPr="00C862C2">
        <w:rPr>
          <w:rFonts w:ascii="Times New Roman" w:eastAsia="Calibri" w:hAnsi="Times New Roman" w:cs="Times New Roman"/>
          <w:bCs/>
          <w:kern w:val="2"/>
          <w:lang w:val="es-ES" w:bidi="fa-IR"/>
          <w14:ligatures w14:val="standardContextual"/>
        </w:rPr>
        <w:t>David Bolonio Martin</w:t>
      </w:r>
      <w:r w:rsidRPr="00C862C2">
        <w:rPr>
          <w:rFonts w:ascii="Times New Roman" w:eastAsia="Calibri" w:hAnsi="Times New Roman" w:cs="Times New Roman"/>
          <w:bCs/>
          <w:kern w:val="2"/>
          <w:vertAlign w:val="superscript"/>
          <w:lang w:val="es-ES"/>
          <w14:ligatures w14:val="standardContextual"/>
        </w:rPr>
        <w:t xml:space="preserve"> </w:t>
      </w:r>
      <w:bookmarkEnd w:id="1"/>
      <w:r w:rsidRPr="00C862C2">
        <w:rPr>
          <w:rFonts w:ascii="Times New Roman" w:eastAsia="Calibri" w:hAnsi="Times New Roman" w:cs="Times New Roman"/>
          <w:bCs/>
          <w:kern w:val="2"/>
          <w:vertAlign w:val="superscript"/>
          <w:lang w:val="es-ES" w:bidi="fa-IR"/>
          <w14:ligatures w14:val="standardContextual"/>
        </w:rPr>
        <w:t>2</w:t>
      </w:r>
    </w:p>
    <w:p w14:paraId="5E6FCE24" w14:textId="77777777" w:rsidR="00C862C2" w:rsidRPr="00C862C2" w:rsidRDefault="00C862C2" w:rsidP="00C862C2">
      <w:pPr>
        <w:spacing w:after="0" w:line="240" w:lineRule="auto"/>
        <w:jc w:val="center"/>
        <w:rPr>
          <w:rFonts w:ascii="Times New Roman" w:eastAsia="Calibri" w:hAnsi="Times New Roman" w:cs="Times New Roman"/>
          <w:b/>
          <w:kern w:val="2"/>
          <w:vertAlign w:val="superscript"/>
          <w:lang w:val="es-ES" w:bidi="fa-IR"/>
          <w14:ligatures w14:val="standardContextual"/>
        </w:rPr>
      </w:pPr>
    </w:p>
    <w:p w14:paraId="20DBFBF2" w14:textId="7AD86257" w:rsidR="00430839" w:rsidRPr="00C862C2" w:rsidRDefault="00C862C2" w:rsidP="00C862C2">
      <w:pPr>
        <w:spacing w:after="0" w:line="240" w:lineRule="auto"/>
        <w:jc w:val="center"/>
        <w:rPr>
          <w:rFonts w:ascii="Times New Roman" w:eastAsia="Calibri" w:hAnsi="Times New Roman" w:cs="Times New Roman"/>
          <w:bCs/>
          <w:i/>
          <w:iCs/>
          <w:kern w:val="2"/>
          <w:sz w:val="20"/>
          <w:szCs w:val="20"/>
          <w:lang w:bidi="fa-IR"/>
          <w14:ligatures w14:val="standardContextual"/>
        </w:rPr>
      </w:pPr>
      <w:r w:rsidRPr="00C862C2">
        <w:rPr>
          <w:rFonts w:ascii="Times New Roman" w:eastAsia="Calibri" w:hAnsi="Times New Roman" w:cs="Times New Roman"/>
          <w:bCs/>
          <w:i/>
          <w:iCs/>
          <w:kern w:val="2"/>
          <w:sz w:val="20"/>
          <w:szCs w:val="20"/>
          <w:vertAlign w:val="superscript"/>
          <w:lang w:bidi="fa-IR"/>
          <w14:ligatures w14:val="standardContextual"/>
        </w:rPr>
        <w:t>1-</w:t>
      </w:r>
      <w:r w:rsidRPr="00C862C2">
        <w:rPr>
          <w:rFonts w:ascii="Times New Roman" w:eastAsia="Calibri" w:hAnsi="Times New Roman" w:cs="Times New Roman"/>
          <w:bCs/>
          <w:i/>
          <w:iCs/>
          <w:kern w:val="2"/>
          <w:sz w:val="20"/>
          <w:szCs w:val="20"/>
          <w:lang w:bidi="fa-IR"/>
          <w14:ligatures w14:val="standardContextual"/>
        </w:rPr>
        <w:t xml:space="preserve"> Escuela Técnica Superior De Ingenieros De Minas Y Energía, Universidad Politécnica De Madrid, Madrid, Spain, </w:t>
      </w:r>
      <w:hyperlink r:id="rId8" w:history="1">
        <w:r w:rsidRPr="00C862C2">
          <w:rPr>
            <w:rFonts w:ascii="Times New Roman" w:eastAsia="Calibri" w:hAnsi="Times New Roman" w:cs="Times New Roman"/>
            <w:bCs/>
            <w:i/>
            <w:iCs/>
            <w:kern w:val="2"/>
            <w:sz w:val="20"/>
            <w:szCs w:val="20"/>
            <w:lang w:bidi="fa-IR"/>
            <w14:ligatures w14:val="standardContextual"/>
          </w:rPr>
          <w:t>Https://Orcid.Org/0009-0003-4965-6692</w:t>
        </w:r>
      </w:hyperlink>
      <w:r w:rsidRPr="00C862C2">
        <w:rPr>
          <w:rFonts w:ascii="Times New Roman" w:eastAsia="Calibri" w:hAnsi="Times New Roman" w:cs="Times New Roman"/>
          <w:bCs/>
          <w:i/>
          <w:iCs/>
          <w:kern w:val="2"/>
          <w:sz w:val="20"/>
          <w:szCs w:val="20"/>
          <w:lang w:bidi="fa-IR"/>
          <w14:ligatures w14:val="standardContextual"/>
        </w:rPr>
        <w:t>, Email: S.Mojaverrostami@Alumnos.Upm.Es</w:t>
      </w:r>
    </w:p>
    <w:p w14:paraId="325D3A2D" w14:textId="65AB4EF3" w:rsidR="00430839" w:rsidRPr="00C862C2" w:rsidRDefault="00C862C2" w:rsidP="00C862C2">
      <w:pPr>
        <w:spacing w:after="0" w:line="240" w:lineRule="auto"/>
        <w:jc w:val="center"/>
        <w:rPr>
          <w:rFonts w:ascii="Times New Roman" w:eastAsia="Calibri" w:hAnsi="Times New Roman" w:cs="Times New Roman"/>
          <w:bCs/>
          <w:i/>
          <w:iCs/>
          <w:kern w:val="2"/>
          <w:sz w:val="20"/>
          <w:szCs w:val="20"/>
          <w:lang w:bidi="fa-IR"/>
          <w14:ligatures w14:val="standardContextual"/>
        </w:rPr>
      </w:pPr>
      <w:r w:rsidRPr="00C862C2">
        <w:rPr>
          <w:rFonts w:ascii="Times New Roman" w:eastAsia="Calibri" w:hAnsi="Times New Roman" w:cs="Times New Roman"/>
          <w:bCs/>
          <w:i/>
          <w:iCs/>
          <w:kern w:val="2"/>
          <w:sz w:val="20"/>
          <w:szCs w:val="20"/>
          <w:vertAlign w:val="superscript"/>
          <w:lang w:bidi="fa-IR"/>
          <w14:ligatures w14:val="standardContextual"/>
        </w:rPr>
        <w:t>2-</w:t>
      </w:r>
      <w:r w:rsidRPr="00C862C2">
        <w:rPr>
          <w:rFonts w:ascii="Times New Roman" w:eastAsia="Calibri" w:hAnsi="Times New Roman" w:cs="Times New Roman"/>
          <w:bCs/>
          <w:i/>
          <w:iCs/>
          <w:kern w:val="2"/>
          <w:sz w:val="20"/>
          <w:szCs w:val="20"/>
          <w:lang w:bidi="fa-IR"/>
          <w14:ligatures w14:val="standardContextual"/>
        </w:rPr>
        <w:t xml:space="preserve"> Escuela Técnica Superior De Ingenieros De Minas Y Energía, Universidad Politécnica De Madrid, Madrid, Spain, </w:t>
      </w:r>
      <w:hyperlink r:id="rId9" w:history="1">
        <w:r w:rsidRPr="00C862C2">
          <w:rPr>
            <w:rFonts w:ascii="Times New Roman" w:eastAsia="Calibri" w:hAnsi="Times New Roman" w:cs="Times New Roman"/>
            <w:bCs/>
            <w:i/>
            <w:iCs/>
            <w:kern w:val="2"/>
            <w:sz w:val="20"/>
            <w:szCs w:val="20"/>
            <w:lang w:bidi="fa-IR"/>
            <w14:ligatures w14:val="standardContextual"/>
          </w:rPr>
          <w:t>Https://Orcid.Org/0000-0002-8170-5445</w:t>
        </w:r>
      </w:hyperlink>
      <w:r w:rsidRPr="00C862C2">
        <w:rPr>
          <w:rFonts w:ascii="Times New Roman" w:eastAsia="Calibri" w:hAnsi="Times New Roman" w:cs="Times New Roman"/>
          <w:bCs/>
          <w:i/>
          <w:iCs/>
          <w:kern w:val="2"/>
          <w:sz w:val="20"/>
          <w:szCs w:val="20"/>
          <w:lang w:bidi="fa-IR"/>
          <w14:ligatures w14:val="standardContextual"/>
        </w:rPr>
        <w:t xml:space="preserve">, Email: </w:t>
      </w:r>
      <w:hyperlink r:id="rId10" w:history="1">
        <w:r w:rsidRPr="00C862C2">
          <w:rPr>
            <w:rStyle w:val="Hyperlink"/>
            <w:rFonts w:ascii="Times New Roman" w:eastAsia="Calibri" w:hAnsi="Times New Roman" w:cs="Times New Roman"/>
            <w:bCs/>
            <w:i/>
            <w:iCs/>
            <w:color w:val="auto"/>
            <w:kern w:val="2"/>
            <w:sz w:val="20"/>
            <w:szCs w:val="20"/>
            <w:u w:val="none"/>
            <w:lang w:bidi="fa-IR"/>
            <w14:ligatures w14:val="standardContextual"/>
          </w:rPr>
          <w:t>David.Bolonio@Upm.Es</w:t>
        </w:r>
      </w:hyperlink>
    </w:p>
    <w:p w14:paraId="21813407" w14:textId="2B689549" w:rsidR="00430839" w:rsidRPr="00C862C2" w:rsidRDefault="00C862C2" w:rsidP="00C862C2">
      <w:pPr>
        <w:spacing w:after="0" w:line="240" w:lineRule="auto"/>
        <w:jc w:val="center"/>
        <w:rPr>
          <w:rFonts w:ascii="Times New Roman" w:eastAsia="Times New Roman" w:hAnsi="Times New Roman" w:cs="Times New Roman"/>
          <w:bCs/>
          <w:i/>
          <w:iCs/>
          <w:sz w:val="20"/>
          <w:szCs w:val="20"/>
          <w:rtl/>
        </w:rPr>
      </w:pPr>
      <w:r w:rsidRPr="00C862C2">
        <w:rPr>
          <w:rFonts w:ascii="Times New Roman" w:eastAsia="Calibri" w:hAnsi="Times New Roman" w:cs="Times New Roman"/>
          <w:bCs/>
          <w:i/>
          <w:iCs/>
          <w:sz w:val="20"/>
          <w:szCs w:val="20"/>
          <w:lang w:bidi="fa-IR"/>
        </w:rPr>
        <w:t xml:space="preserve">*Corresponding Author: Sahar </w:t>
      </w:r>
      <w:proofErr w:type="spellStart"/>
      <w:r w:rsidRPr="00C862C2">
        <w:rPr>
          <w:rFonts w:ascii="Times New Roman" w:eastAsia="Calibri" w:hAnsi="Times New Roman" w:cs="Times New Roman"/>
          <w:bCs/>
          <w:i/>
          <w:iCs/>
          <w:sz w:val="20"/>
          <w:szCs w:val="20"/>
          <w:lang w:bidi="fa-IR"/>
        </w:rPr>
        <w:t>Mojaverrostami</w:t>
      </w:r>
      <w:proofErr w:type="spellEnd"/>
      <w:r w:rsidRPr="00C862C2">
        <w:rPr>
          <w:rFonts w:ascii="Times New Roman" w:eastAsia="Calibri" w:hAnsi="Times New Roman" w:cs="Times New Roman"/>
          <w:bCs/>
          <w:i/>
          <w:iCs/>
          <w:sz w:val="20"/>
          <w:szCs w:val="20"/>
          <w:lang w:bidi="fa-IR"/>
        </w:rPr>
        <w:t xml:space="preserve">, </w:t>
      </w:r>
      <w:r w:rsidRPr="00C862C2">
        <w:rPr>
          <w:rFonts w:ascii="Times New Roman" w:eastAsia="Calibri" w:hAnsi="Times New Roman" w:cs="Times New Roman"/>
          <w:bCs/>
          <w:i/>
          <w:iCs/>
          <w:kern w:val="2"/>
          <w:sz w:val="20"/>
          <w:szCs w:val="20"/>
          <w:lang w:bidi="fa-IR"/>
          <w14:ligatures w14:val="standardContextual"/>
        </w:rPr>
        <w:t xml:space="preserve">School </w:t>
      </w:r>
      <w:proofErr w:type="gramStart"/>
      <w:r w:rsidRPr="00C862C2">
        <w:rPr>
          <w:rFonts w:ascii="Times New Roman" w:eastAsia="Calibri" w:hAnsi="Times New Roman" w:cs="Times New Roman"/>
          <w:bCs/>
          <w:i/>
          <w:iCs/>
          <w:kern w:val="2"/>
          <w:sz w:val="20"/>
          <w:szCs w:val="20"/>
          <w:lang w:bidi="fa-IR"/>
          <w14:ligatures w14:val="standardContextual"/>
        </w:rPr>
        <w:t>Of</w:t>
      </w:r>
      <w:proofErr w:type="gramEnd"/>
      <w:r w:rsidRPr="00C862C2">
        <w:rPr>
          <w:rFonts w:ascii="Times New Roman" w:eastAsia="Calibri" w:hAnsi="Times New Roman" w:cs="Times New Roman"/>
          <w:bCs/>
          <w:i/>
          <w:iCs/>
          <w:kern w:val="2"/>
          <w:sz w:val="20"/>
          <w:szCs w:val="20"/>
          <w:lang w:bidi="fa-IR"/>
          <w14:ligatures w14:val="standardContextual"/>
        </w:rPr>
        <w:t xml:space="preserve"> Mining </w:t>
      </w:r>
      <w:proofErr w:type="gramStart"/>
      <w:r w:rsidRPr="00C862C2">
        <w:rPr>
          <w:rFonts w:ascii="Times New Roman" w:eastAsia="Calibri" w:hAnsi="Times New Roman" w:cs="Times New Roman"/>
          <w:bCs/>
          <w:i/>
          <w:iCs/>
          <w:kern w:val="2"/>
          <w:sz w:val="20"/>
          <w:szCs w:val="20"/>
          <w:lang w:bidi="fa-IR"/>
          <w14:ligatures w14:val="standardContextual"/>
        </w:rPr>
        <w:t>And</w:t>
      </w:r>
      <w:proofErr w:type="gramEnd"/>
      <w:r w:rsidRPr="00C862C2">
        <w:rPr>
          <w:rFonts w:ascii="Times New Roman" w:eastAsia="Calibri" w:hAnsi="Times New Roman" w:cs="Times New Roman"/>
          <w:bCs/>
          <w:i/>
          <w:iCs/>
          <w:kern w:val="2"/>
          <w:sz w:val="20"/>
          <w:szCs w:val="20"/>
          <w:lang w:bidi="fa-IR"/>
          <w14:ligatures w14:val="standardContextual"/>
        </w:rPr>
        <w:t xml:space="preserve"> Energy Engineering, Universidad Politécnica De Madrid, Madrid, Spain, Email: S.Mojaverrostami@Alumnos.Upm.Es</w:t>
      </w:r>
    </w:p>
    <w:p w14:paraId="2AC6A5C2" w14:textId="77777777" w:rsidR="00430839" w:rsidRDefault="00430839" w:rsidP="00C862C2">
      <w:pPr>
        <w:spacing w:after="0" w:line="240" w:lineRule="auto"/>
        <w:jc w:val="both"/>
        <w:rPr>
          <w:rFonts w:ascii="Times New Roman" w:eastAsia="Times New Roman" w:hAnsi="Times New Roman" w:cs="Times New Roman"/>
          <w:b/>
          <w:bCs/>
        </w:rPr>
      </w:pPr>
    </w:p>
    <w:p w14:paraId="6C0211D5" w14:textId="77777777" w:rsidR="00C862C2" w:rsidRPr="00C862C2" w:rsidRDefault="00C862C2" w:rsidP="00C862C2">
      <w:pPr>
        <w:spacing w:after="0" w:line="240" w:lineRule="auto"/>
        <w:jc w:val="both"/>
        <w:rPr>
          <w:rFonts w:ascii="Times New Roman" w:eastAsia="Times New Roman" w:hAnsi="Times New Roman" w:cs="Times New Roman"/>
          <w:b/>
          <w:bCs/>
        </w:rPr>
      </w:pPr>
    </w:p>
    <w:p w14:paraId="66AC3219" w14:textId="3F8ACA53" w:rsidR="00944003" w:rsidRPr="00C862C2" w:rsidRDefault="00944003" w:rsidP="00C862C2">
      <w:pPr>
        <w:spacing w:after="0" w:line="240" w:lineRule="auto"/>
        <w:ind w:left="720" w:right="720"/>
        <w:jc w:val="both"/>
        <w:rPr>
          <w:rFonts w:ascii="Times New Roman" w:eastAsia="Times New Roman" w:hAnsi="Times New Roman" w:cs="Times New Roman"/>
        </w:rPr>
      </w:pPr>
      <w:r w:rsidRPr="00C862C2">
        <w:rPr>
          <w:rFonts w:ascii="Times New Roman" w:eastAsia="Times New Roman" w:hAnsi="Times New Roman" w:cs="Times New Roman"/>
          <w:b/>
          <w:bCs/>
        </w:rPr>
        <w:t>Abstract</w:t>
      </w:r>
      <w:r w:rsidRPr="00C862C2">
        <w:rPr>
          <w:rFonts w:ascii="Times New Roman" w:eastAsia="Times New Roman" w:hAnsi="Times New Roman" w:cs="Times New Roman"/>
        </w:rPr>
        <w:br/>
        <w:t>This study investigates the relationship between environmental disclosure and the degree of accounting conservatism among firms listed on the Tehran Stock Exchange. To achieve this, two separate empirical models were developed to examine the association between environmental disclosure and both conditional and unconditional accounting conservatism. The study is applied in purpose and employs a descriptive–ex post facto research design in terms of data collection. The statistical population includes all firms listed on the Tehran Stock Exchange from 2015 to 2022. After screening, a total of 140 firms (1,120 firm-year observations) were analyzed. The findings indicate that: (1) the level of accounting conservatism varies significantly across corporate life cycle stages, and (2) environmental disclosure practices are influenced by a firm’s life cycle stage.</w:t>
      </w:r>
      <w:r w:rsidR="00430839" w:rsidRPr="00C862C2">
        <w:rPr>
          <w:rFonts w:ascii="Times New Roman" w:eastAsia="Times New Roman" w:hAnsi="Times New Roman" w:cs="Times New Roman"/>
        </w:rPr>
        <w:t xml:space="preserve"> </w:t>
      </w:r>
      <w:r w:rsidRPr="00C862C2">
        <w:rPr>
          <w:rFonts w:ascii="Times New Roman" w:eastAsia="Times New Roman" w:hAnsi="Times New Roman" w:cs="Times New Roman"/>
        </w:rPr>
        <w:t>Furthermore, the results suggest that firms in the maturity stage exhibit stronger alignment between environmental reporting and conservative financial practices compared to firms in the growth or decline stages. The study also highlights that regulatory pressure and stakeholder expectations play critical roles in shaping disclosure strategies throughout the corporate life cycle. These insights contribute to a deeper understanding of how corporate characteristics influence transparency and reporting behavior in emerging markets.</w:t>
      </w:r>
    </w:p>
    <w:p w14:paraId="228D748A" w14:textId="77777777" w:rsidR="00C862C2" w:rsidRDefault="00C862C2" w:rsidP="00C862C2">
      <w:pPr>
        <w:spacing w:after="0" w:line="240" w:lineRule="auto"/>
        <w:ind w:left="720" w:right="720"/>
        <w:jc w:val="both"/>
        <w:rPr>
          <w:rFonts w:ascii="Times New Roman" w:eastAsia="Times New Roman" w:hAnsi="Times New Roman" w:cs="Times New Roman"/>
          <w:b/>
          <w:bCs/>
        </w:rPr>
      </w:pPr>
    </w:p>
    <w:p w14:paraId="770AE7EF" w14:textId="7903D19D" w:rsidR="00944003" w:rsidRPr="00C862C2" w:rsidRDefault="00944003" w:rsidP="00C862C2">
      <w:pPr>
        <w:spacing w:after="0" w:line="240" w:lineRule="auto"/>
        <w:ind w:left="720" w:right="720"/>
        <w:jc w:val="both"/>
        <w:rPr>
          <w:rFonts w:ascii="Times New Roman" w:eastAsia="Times New Roman" w:hAnsi="Times New Roman" w:cs="Times New Roman"/>
        </w:rPr>
      </w:pPr>
      <w:r w:rsidRPr="00C862C2">
        <w:rPr>
          <w:rFonts w:ascii="Times New Roman" w:eastAsia="Times New Roman" w:hAnsi="Times New Roman" w:cs="Times New Roman"/>
          <w:b/>
          <w:bCs/>
        </w:rPr>
        <w:t>Keywords:</w:t>
      </w:r>
      <w:r w:rsidRPr="00C862C2">
        <w:rPr>
          <w:rFonts w:ascii="Times New Roman" w:eastAsia="Times New Roman" w:hAnsi="Times New Roman" w:cs="Times New Roman"/>
        </w:rPr>
        <w:t xml:space="preserve"> Environmental Disclosure, Accounting Conservatism, Corporate Life Cycle.</w:t>
      </w:r>
    </w:p>
    <w:p w14:paraId="460818CC" w14:textId="77777777" w:rsidR="00430839" w:rsidRPr="00C862C2" w:rsidRDefault="00430839" w:rsidP="00C862C2">
      <w:pPr>
        <w:spacing w:after="0" w:line="240" w:lineRule="auto"/>
        <w:jc w:val="both"/>
        <w:rPr>
          <w:rFonts w:ascii="Times New Roman" w:eastAsia="Times New Roman" w:hAnsi="Times New Roman" w:cs="Times New Roman"/>
        </w:rPr>
      </w:pPr>
    </w:p>
    <w:p w14:paraId="7870A984" w14:textId="77777777" w:rsidR="002831F5" w:rsidRPr="00C862C2" w:rsidRDefault="005B1833" w:rsidP="00C862C2">
      <w:pPr>
        <w:spacing w:after="0" w:line="240" w:lineRule="auto"/>
        <w:jc w:val="both"/>
        <w:outlineLvl w:val="2"/>
        <w:rPr>
          <w:rFonts w:ascii="Times New Roman" w:eastAsia="Times New Roman" w:hAnsi="Times New Roman" w:cs="Times New Roman"/>
          <w:b/>
          <w:bCs/>
          <w:rtl/>
        </w:rPr>
      </w:pPr>
      <w:r w:rsidRPr="00C862C2">
        <w:rPr>
          <w:rFonts w:ascii="Times New Roman" w:eastAsia="Times New Roman" w:hAnsi="Times New Roman" w:cs="Times New Roman"/>
          <w:b/>
          <w:bCs/>
        </w:rPr>
        <w:t xml:space="preserve">1. </w:t>
      </w:r>
      <w:r w:rsidR="002831F5" w:rsidRPr="00C862C2">
        <w:rPr>
          <w:rFonts w:ascii="Times New Roman" w:eastAsia="Times New Roman" w:hAnsi="Times New Roman" w:cs="Times New Roman"/>
          <w:b/>
          <w:bCs/>
        </w:rPr>
        <w:t>Introduction</w:t>
      </w:r>
    </w:p>
    <w:p w14:paraId="15242A29" w14:textId="5B0B0CC8" w:rsidR="005B1833" w:rsidRPr="00C862C2" w:rsidRDefault="005B1833" w:rsidP="00C862C2">
      <w:pPr>
        <w:pStyle w:val="NormalWeb"/>
        <w:spacing w:before="0" w:beforeAutospacing="0" w:after="0" w:afterAutospacing="0"/>
        <w:jc w:val="both"/>
        <w:rPr>
          <w:sz w:val="22"/>
          <w:szCs w:val="22"/>
        </w:rPr>
      </w:pPr>
      <w:r w:rsidRPr="00C862C2">
        <w:rPr>
          <w:sz w:val="22"/>
          <w:szCs w:val="22"/>
        </w:rPr>
        <w:t>Accounting conservatism is widely recognized as a fundamental reporting characteristic that reduces information asymmetry between corporate managers and external stakeholders (FASB, 1980; Khan &amp; Watts, 2009; LaFond &amp; Watts, 2008; Watts, 2003). By mitigating agency conflicts and limiting opportunistic managerial behavior, conservatism enhances financial statement reliability and investor protection (Ball &amp; Shivakumar, 2005; Watts, 2003). It reflects a prudent response to uncertainty, ensuring inherent business risks are incorporated into reporting (FASB, 1980). Conservatism involves asymmetric recognition of economic shocks, with “bad news” reflected faster than “good news” (Basu, 1997), and represents a systematic downward bias in book net assets relative to economic values (Ruch &amp; Taylor, 2015). Conditional conservatism constrains earnings management and limits opportunistic use of accruals (García Lara et al., 2020; LaFond &amp; Watts, 2008; Watts, 2003). Consequently, information asymmetry increases demand for more conservative reporting (LaFond &amp; Watts, 2008; Ferreira et al., 2022).</w:t>
      </w:r>
      <w:r w:rsidRPr="00C862C2">
        <w:rPr>
          <w:sz w:val="22"/>
          <w:szCs w:val="22"/>
          <w:rtl/>
          <w:lang w:bidi="fa-IR"/>
        </w:rPr>
        <w:t xml:space="preserve"> </w:t>
      </w:r>
      <w:r w:rsidRPr="00C862C2">
        <w:rPr>
          <w:sz w:val="22"/>
          <w:szCs w:val="22"/>
        </w:rPr>
        <w:t xml:space="preserve">Environmental performance, a key nonfinancial dimension of corporate behavior, has gained attention from regulators, policymakers, and stakeholders worldwide. Studies show environmental engagement affects firm outcomes such as financial performance and market valuation (Arouri &amp; </w:t>
      </w:r>
      <w:proofErr w:type="spellStart"/>
      <w:r w:rsidRPr="00C862C2">
        <w:rPr>
          <w:sz w:val="22"/>
          <w:szCs w:val="22"/>
        </w:rPr>
        <w:t>Pijourlet</w:t>
      </w:r>
      <w:proofErr w:type="spellEnd"/>
      <w:r w:rsidRPr="00C862C2">
        <w:rPr>
          <w:sz w:val="22"/>
          <w:szCs w:val="22"/>
        </w:rPr>
        <w:t xml:space="preserve">, 2017; Cheng et al., 2014; Jiao, 2010; Lu et al., 2017), cost of capital (El Ghoul, 2011), default risk (Atif &amp; Ali, 2021), and financial risk exposure (Li &amp; Faff, 2009; Oikonomou et al., 2012). Effective agency problem mitigation </w:t>
      </w:r>
      <w:r w:rsidRPr="00C862C2">
        <w:rPr>
          <w:sz w:val="22"/>
          <w:szCs w:val="22"/>
        </w:rPr>
        <w:lastRenderedPageBreak/>
        <w:t>requires strong monitoring mechanisms, both internal and external (Fama &amp; Jensen, 1983). Environmental disclosure serves</w:t>
      </w:r>
      <w:r w:rsidRPr="00C862C2">
        <w:rPr>
          <w:sz w:val="22"/>
          <w:szCs w:val="22"/>
          <w:rtl/>
        </w:rPr>
        <w:t xml:space="preserve"> </w:t>
      </w:r>
      <w:r w:rsidRPr="00C862C2">
        <w:rPr>
          <w:sz w:val="22"/>
          <w:szCs w:val="22"/>
        </w:rPr>
        <w:t>as both an internal governance tool and an external monitoring mechanism (Lu et al., 2017; Atif et al., 2022).</w:t>
      </w:r>
      <w:r w:rsidRPr="00C862C2">
        <w:rPr>
          <w:sz w:val="22"/>
          <w:szCs w:val="22"/>
          <w:rtl/>
          <w:lang w:bidi="fa-IR"/>
        </w:rPr>
        <w:t xml:space="preserve"> </w:t>
      </w:r>
      <w:r w:rsidRPr="00C862C2">
        <w:rPr>
          <w:sz w:val="22"/>
          <w:szCs w:val="22"/>
        </w:rPr>
        <w:t>Corporate life cycle theory explains that firms evolve through stages with distinct financial attributes, resource constraints, and strategic priorities. Dickinson (2011) identifies five stages: introduction, growth, maturity, shakeout, and decline, based on cash flow patterns. Life cycle stage affects resource availability and economic priorities, influencing environmental engagement decisions (McWilliams &amp; Siegel, 2001; Atif &amp; Ali, 2021; Moreira et al., 2023).</w:t>
      </w:r>
      <w:r w:rsidRPr="00C862C2">
        <w:rPr>
          <w:sz w:val="22"/>
          <w:szCs w:val="22"/>
          <w:rtl/>
          <w:lang w:bidi="fa-IR"/>
        </w:rPr>
        <w:t xml:space="preserve">  </w:t>
      </w:r>
      <w:r w:rsidRPr="00C862C2">
        <w:rPr>
          <w:sz w:val="22"/>
          <w:szCs w:val="22"/>
        </w:rPr>
        <w:t xml:space="preserve">This study examines the relationship between environmental disclosure and accounting conservatism across life cycle stages in the Iranian capital market. It addresses a gap by investigating how disclosure interacts with conservatism within each stage in an emerging market. The study contributes in several ways. First, it responds to calls for extending environmental disclosure research beyond developed economies, where disclosure is shaped by regulation and stakeholder pressure, conditions not always present in emerging markets (Araujo et al., 2021; Filatotchev et al., 2022; Jamali &amp; </w:t>
      </w:r>
      <w:proofErr w:type="spellStart"/>
      <w:r w:rsidRPr="00C862C2">
        <w:rPr>
          <w:sz w:val="22"/>
          <w:szCs w:val="22"/>
        </w:rPr>
        <w:t>Mirshak</w:t>
      </w:r>
      <w:proofErr w:type="spellEnd"/>
      <w:r w:rsidRPr="00C862C2">
        <w:rPr>
          <w:sz w:val="22"/>
          <w:szCs w:val="22"/>
        </w:rPr>
        <w:t>, 2007; Jamali &amp; Neville, 2011). Institutional structures and national characteristics significantly shape reporting practices, causing cross-country variation in disclosure (Filatotchev et al., 2022). A context-sensitive open systems approach can enrich global disclosure literature by recognizing external environmental influence on firm behavior (Boubaker et al., 2021; Filatotchev et al., 2022).</w:t>
      </w:r>
      <w:r w:rsidRPr="00C862C2">
        <w:rPr>
          <w:sz w:val="22"/>
          <w:szCs w:val="22"/>
          <w:rtl/>
          <w:lang w:bidi="fa-IR"/>
        </w:rPr>
        <w:t xml:space="preserve"> </w:t>
      </w:r>
      <w:r w:rsidRPr="00C862C2">
        <w:rPr>
          <w:sz w:val="22"/>
          <w:szCs w:val="22"/>
        </w:rPr>
        <w:t xml:space="preserve">Second, this study is among the first to examine environmental disclosure and conservatism across life cycle stages in Iran. Previous Iranian studies (Maleki et al., 2019; </w:t>
      </w:r>
      <w:proofErr w:type="spellStart"/>
      <w:r w:rsidRPr="00C862C2">
        <w:rPr>
          <w:sz w:val="22"/>
          <w:szCs w:val="22"/>
        </w:rPr>
        <w:t>Ghadim</w:t>
      </w:r>
      <w:proofErr w:type="spellEnd"/>
      <w:r w:rsidRPr="00C862C2">
        <w:rPr>
          <w:sz w:val="22"/>
          <w:szCs w:val="22"/>
        </w:rPr>
        <w:t xml:space="preserve"> &amp; Vaez, 2021) do not incorporate life cycle dynamics. Understanding stage-specific disclosure and conservatism provides insights for investors, auditors, analysts, and regulators, helping them evaluate financial and sustainability report reliability.</w:t>
      </w:r>
      <w:r w:rsidR="00430839" w:rsidRPr="00C862C2">
        <w:rPr>
          <w:sz w:val="22"/>
          <w:szCs w:val="22"/>
        </w:rPr>
        <w:t xml:space="preserve"> </w:t>
      </w:r>
      <w:r w:rsidRPr="00C862C2">
        <w:rPr>
          <w:sz w:val="22"/>
          <w:szCs w:val="22"/>
        </w:rPr>
        <w:t>Third, Iran’s unique economic structure, including government-affiliated and quasi-state enterprises, combined with prolonged sanctions, creates financial pressures that may affect reporting incentives. Firms may exploit accrual accounting to suppress profits and reduce taxes, lowering earnings quality and transparency. Empirical evidence in this context informs understanding of reporting quality under resource constraints and economic turbulence.</w:t>
      </w:r>
      <w:r w:rsidR="00430839" w:rsidRPr="00C862C2">
        <w:rPr>
          <w:sz w:val="22"/>
          <w:szCs w:val="22"/>
        </w:rPr>
        <w:t xml:space="preserve"> </w:t>
      </w:r>
      <w:r w:rsidRPr="00C862C2">
        <w:rPr>
          <w:sz w:val="22"/>
          <w:szCs w:val="22"/>
        </w:rPr>
        <w:t>The findings can guide investors in assessing environmental transparency and earnings quality across life cycle stages and help managers improve financial reporting and sustainability strategies in Iran.</w:t>
      </w:r>
    </w:p>
    <w:p w14:paraId="6CD58AA2" w14:textId="77777777" w:rsidR="00430839" w:rsidRPr="00C862C2" w:rsidRDefault="00430839" w:rsidP="00C862C2">
      <w:pPr>
        <w:pStyle w:val="NormalWeb"/>
        <w:spacing w:before="0" w:beforeAutospacing="0" w:after="0" w:afterAutospacing="0"/>
        <w:jc w:val="both"/>
        <w:rPr>
          <w:sz w:val="22"/>
          <w:szCs w:val="22"/>
          <w:rtl/>
        </w:rPr>
      </w:pPr>
    </w:p>
    <w:p w14:paraId="27722E74" w14:textId="77777777" w:rsidR="00BB30F0" w:rsidRDefault="00BB30F0" w:rsidP="00C862C2">
      <w:pPr>
        <w:pStyle w:val="Heading2"/>
        <w:spacing w:before="0" w:line="240" w:lineRule="auto"/>
        <w:jc w:val="both"/>
        <w:rPr>
          <w:rFonts w:ascii="Times New Roman" w:hAnsi="Times New Roman" w:cs="Times New Roman"/>
          <w:color w:val="auto"/>
          <w:sz w:val="22"/>
          <w:szCs w:val="22"/>
        </w:rPr>
      </w:pPr>
      <w:r w:rsidRPr="00C862C2">
        <w:rPr>
          <w:rFonts w:ascii="Times New Roman" w:hAnsi="Times New Roman" w:cs="Times New Roman"/>
          <w:color w:val="auto"/>
          <w:sz w:val="22"/>
          <w:szCs w:val="22"/>
        </w:rPr>
        <w:t>2. Literature Review</w:t>
      </w:r>
    </w:p>
    <w:p w14:paraId="09556135" w14:textId="77777777" w:rsidR="00C862C2" w:rsidRPr="00C862C2" w:rsidRDefault="00C862C2" w:rsidP="00C862C2">
      <w:pPr>
        <w:spacing w:after="0"/>
      </w:pPr>
    </w:p>
    <w:p w14:paraId="626CDD86" w14:textId="77777777" w:rsidR="00BB30F0" w:rsidRPr="00C862C2" w:rsidRDefault="00BB30F0" w:rsidP="00C862C2">
      <w:pPr>
        <w:pStyle w:val="Heading3"/>
        <w:spacing w:before="0" w:beforeAutospacing="0" w:after="0" w:afterAutospacing="0"/>
        <w:jc w:val="both"/>
        <w:rPr>
          <w:sz w:val="22"/>
          <w:szCs w:val="22"/>
          <w:rtl/>
          <w:lang w:bidi="fa-IR"/>
        </w:rPr>
      </w:pPr>
      <w:r w:rsidRPr="00C862C2">
        <w:rPr>
          <w:sz w:val="22"/>
          <w:szCs w:val="22"/>
        </w:rPr>
        <w:t>2.1. Accounting conservatism and environmental activities</w:t>
      </w:r>
    </w:p>
    <w:p w14:paraId="057B3F2A"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Accounting conservatism is defined as the asymmetric verification threshold requiring stronger evidence for recognizing gains than losses (Basu, 1997). It serves as a governance mechanism, constraining managerial discretion, limiting earnings overstatement, and reducing expropriation risk (Burke et al., 2020; Cheng &amp; Kung, 2016; García Lara et al., 2009; LaFond &amp; Watts, 2008; Watts, 2003a, 2003b). Conservatism provides timely signals of financial distress (Zhang, 2008), reduces firm failure risk by limiting earnings manipulation (Biddle et al., 2020), aligns earnings with cash flows (Giulio &amp; Hayn, 2000), improves contracting efficiency, constrains excessive executive compensation (Watts, 2003a, 2003b), and reduces stock price crash risk (Huang et al., 2019; Guo et al., 2020).</w:t>
      </w:r>
    </w:p>
    <w:p w14:paraId="6432EDCC"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However, excessive conservatism may reduce earnings relevance or obscure economic performance, suggesting it is not uniformly desirable across contexts.</w:t>
      </w:r>
    </w:p>
    <w:p w14:paraId="10D98627"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 xml:space="preserve">The relationship between corporate social responsibility (CSR) disclosure and accounting conservatism is theoretically contested. CSR engagement is associated with ethical behavior, reduced managerial opportunism (Gao et al., 2014; Kim et al., 2012), lower earnings management and fraud (Harjoto, 2017), reduced financing costs (Jha &amp; Liu, 2015; Goss &amp; Roberts, 2011), and stronger stakeholder relationships (Eccles et al., 2014; Freeman &amp; Miles, 2006). In this view, CSR and conservatism complement each other, enhancing reporting quality (Hong &amp; Andersen, 2011; </w:t>
      </w:r>
      <w:proofErr w:type="spellStart"/>
      <w:r w:rsidRPr="00C862C2">
        <w:rPr>
          <w:rFonts w:ascii="Times New Roman" w:eastAsia="Times New Roman" w:hAnsi="Times New Roman" w:cs="Times New Roman"/>
        </w:rPr>
        <w:t>Garanina</w:t>
      </w:r>
      <w:proofErr w:type="spellEnd"/>
      <w:r w:rsidRPr="00C862C2">
        <w:rPr>
          <w:rFonts w:ascii="Times New Roman" w:eastAsia="Times New Roman" w:hAnsi="Times New Roman" w:cs="Times New Roman"/>
        </w:rPr>
        <w:t xml:space="preserve"> &amp; Kim, 2023).</w:t>
      </w:r>
    </w:p>
    <w:p w14:paraId="03FC2DE2"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Agency theory offers a critical perspective: CSR reporting may shift attention from weak financial performance or justify resource use that does not maximize shareholder value (Jensen &amp; Meckling, 1976; Goss &amp; Roberts, 2011), acting as a substitute rather than complement to high-quality reporting (</w:t>
      </w:r>
      <w:proofErr w:type="spellStart"/>
      <w:r w:rsidRPr="00C862C2">
        <w:rPr>
          <w:rFonts w:ascii="Times New Roman" w:eastAsia="Times New Roman" w:hAnsi="Times New Roman" w:cs="Times New Roman"/>
        </w:rPr>
        <w:t>Bozzolan</w:t>
      </w:r>
      <w:proofErr w:type="spellEnd"/>
      <w:r w:rsidRPr="00C862C2">
        <w:rPr>
          <w:rFonts w:ascii="Times New Roman" w:eastAsia="Times New Roman" w:hAnsi="Times New Roman" w:cs="Times New Roman"/>
        </w:rPr>
        <w:t xml:space="preserve"> et al., 2015; Cai et al., 2019). CSR decoupling literature highlights gaps between symbolic disclosure and implementation (Crilly et al., 2012; García-Sánchez et al., 2020), raising doubts about credibility.</w:t>
      </w:r>
    </w:p>
    <w:p w14:paraId="7C78F4EA"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Legitimacy theory adds that CSR may aim primarily to meet societal expectations and secure legitimacy, without necessarily improving financial reporting quality (Guthrie et al., 2006). Empirical evidence on the link between accounting conservatism and CSR disclosure is mixed: some studies find no relationship (</w:t>
      </w:r>
      <w:proofErr w:type="spellStart"/>
      <w:r w:rsidRPr="00C862C2">
        <w:rPr>
          <w:rFonts w:ascii="Times New Roman" w:eastAsia="Times New Roman" w:hAnsi="Times New Roman" w:cs="Times New Roman"/>
        </w:rPr>
        <w:t>Korniawan</w:t>
      </w:r>
      <w:proofErr w:type="spellEnd"/>
      <w:r w:rsidRPr="00C862C2">
        <w:rPr>
          <w:rFonts w:ascii="Times New Roman" w:eastAsia="Times New Roman" w:hAnsi="Times New Roman" w:cs="Times New Roman"/>
        </w:rPr>
        <w:t xml:space="preserve"> &amp; Wibowo, 2009), others report conservative firms disclose less CSR information (Cho et al., 2020). Conservative reporting may correlate with less precise financial information but increased voluntary disclosure (Langberg &amp; Sivaramakrishnan, 2008).</w:t>
      </w:r>
    </w:p>
    <w:p w14:paraId="4758AF97" w14:textId="77777777" w:rsidR="00BB30F0"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 xml:space="preserve">Institutional context affects CSR motivations. In Russia, CSR often serves symbolic purposes—enhancing reputation or gaining regulatory advantage—rather than improving substantive performance (Filippov, 2012; Kuznetsov et al., 2009; </w:t>
      </w:r>
      <w:proofErr w:type="spellStart"/>
      <w:r w:rsidRPr="00C862C2">
        <w:rPr>
          <w:rFonts w:ascii="Times New Roman" w:eastAsia="Times New Roman" w:hAnsi="Times New Roman" w:cs="Times New Roman"/>
        </w:rPr>
        <w:t>Blagov</w:t>
      </w:r>
      <w:proofErr w:type="spellEnd"/>
      <w:r w:rsidRPr="00C862C2">
        <w:rPr>
          <w:rFonts w:ascii="Times New Roman" w:eastAsia="Times New Roman" w:hAnsi="Times New Roman" w:cs="Times New Roman"/>
        </w:rPr>
        <w:t>, 2014; Marano et al., 2017; Tashman et al., 2019). Overall, CSR disclosure may complement or substitute conservatism depending on managerial incentives, institutional context, and credibility of reporting, highlighting the need for further investigation.</w:t>
      </w:r>
    </w:p>
    <w:p w14:paraId="3AFF0F0E" w14:textId="77777777" w:rsidR="00C862C2" w:rsidRPr="00C862C2" w:rsidRDefault="00C862C2" w:rsidP="00C862C2">
      <w:pPr>
        <w:spacing w:after="0" w:line="240" w:lineRule="auto"/>
        <w:jc w:val="both"/>
        <w:rPr>
          <w:rFonts w:ascii="Times New Roman" w:eastAsia="Times New Roman" w:hAnsi="Times New Roman" w:cs="Times New Roman"/>
        </w:rPr>
      </w:pPr>
    </w:p>
    <w:p w14:paraId="4AECAC79" w14:textId="77777777" w:rsidR="00BB30F0" w:rsidRPr="00C862C2" w:rsidRDefault="00BB30F0" w:rsidP="00C862C2">
      <w:pPr>
        <w:spacing w:after="0" w:line="240" w:lineRule="auto"/>
        <w:jc w:val="both"/>
        <w:outlineLvl w:val="2"/>
        <w:rPr>
          <w:rFonts w:ascii="Times New Roman" w:eastAsia="Times New Roman" w:hAnsi="Times New Roman" w:cs="Times New Roman"/>
          <w:b/>
          <w:bCs/>
        </w:rPr>
      </w:pPr>
      <w:r w:rsidRPr="00C862C2">
        <w:rPr>
          <w:rFonts w:ascii="Times New Roman" w:eastAsia="Times New Roman" w:hAnsi="Times New Roman" w:cs="Times New Roman"/>
          <w:b/>
          <w:bCs/>
        </w:rPr>
        <w:t>2.2. Accounting conservatism and firm life cycle</w:t>
      </w:r>
    </w:p>
    <w:p w14:paraId="74A17672"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Firm life cycle theory explains variations in corporate behavior across development stages, marked by shifting strategic priorities, resources, and financial structures (Abdullah &amp; Mohamed-Saleh, 2014). Life cycle stages relate to stock market reactions (Anthony &amp; Ramesh, 1994), financing and investment decisions (DeAngelo et al., 2006), tax avoidance (Hasan et al., 2017), and CSR disclosure (Hasan &amp; Habib, 2017). However, firm evolution is often nonlinear and context-dependent (Habib &amp; Hasan, 2019; Sabbah-Saleh et al., 2024).</w:t>
      </w:r>
    </w:p>
    <w:p w14:paraId="7149E11B"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Early stages, such as introduction and growth, involve intensive investment and long-term survival focus (Donaldson &amp; Lorsch, 1983), associated with high information asymmetry and lower analyst coverage. Dickinson (2011) classifies life cycle stages through cash flow patterns, but this may oversimplify firm dynamics.</w:t>
      </w:r>
    </w:p>
    <w:p w14:paraId="3A4DC604"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 xml:space="preserve">Accounting conservatism enhances financial statement reliability by asymmetrically recognizing losses over gains (Maleki et al., 2019). It mitigates agency conflicts (Watts, 2003), supported by empirical studies (Ahmed &amp; Duellman, 2007; </w:t>
      </w:r>
      <w:proofErr w:type="spellStart"/>
      <w:r w:rsidRPr="00C862C2">
        <w:rPr>
          <w:rFonts w:ascii="Times New Roman" w:eastAsia="Times New Roman" w:hAnsi="Times New Roman" w:cs="Times New Roman"/>
        </w:rPr>
        <w:t>Honarbakhsh</w:t>
      </w:r>
      <w:proofErr w:type="spellEnd"/>
      <w:r w:rsidRPr="00C862C2">
        <w:rPr>
          <w:rFonts w:ascii="Times New Roman" w:eastAsia="Times New Roman" w:hAnsi="Times New Roman" w:cs="Times New Roman"/>
        </w:rPr>
        <w:t>, 2022), but may have trade-offs, such as reduced relevance or managerial opportunism.</w:t>
      </w:r>
    </w:p>
    <w:p w14:paraId="54B24F02"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The relationship between life cycle stages and reporting quality is debated. The competitive cost perspective argues growth firms may reduce transparency to protect proprietary information, improving disclosure only later (</w:t>
      </w:r>
      <w:proofErr w:type="spellStart"/>
      <w:r w:rsidRPr="00C862C2">
        <w:rPr>
          <w:rFonts w:ascii="Times New Roman" w:eastAsia="Times New Roman" w:hAnsi="Times New Roman" w:cs="Times New Roman"/>
        </w:rPr>
        <w:t>Piotroski</w:t>
      </w:r>
      <w:proofErr w:type="spellEnd"/>
      <w:r w:rsidRPr="00C862C2">
        <w:rPr>
          <w:rFonts w:ascii="Times New Roman" w:eastAsia="Times New Roman" w:hAnsi="Times New Roman" w:cs="Times New Roman"/>
        </w:rPr>
        <w:t xml:space="preserve">, 2003; </w:t>
      </w:r>
      <w:proofErr w:type="spellStart"/>
      <w:r w:rsidRPr="00C862C2">
        <w:rPr>
          <w:rFonts w:ascii="Times New Roman" w:eastAsia="Times New Roman" w:hAnsi="Times New Roman" w:cs="Times New Roman"/>
        </w:rPr>
        <w:t>Leuz</w:t>
      </w:r>
      <w:proofErr w:type="spellEnd"/>
      <w:r w:rsidRPr="00C862C2">
        <w:rPr>
          <w:rFonts w:ascii="Times New Roman" w:eastAsia="Times New Roman" w:hAnsi="Times New Roman" w:cs="Times New Roman"/>
        </w:rPr>
        <w:t>, 2004). Empirical evidence shows high-growth firms often have higher accruals and lower earnings quality (McNichols, 2000). Declining firms may reduce conservatism to mask performance deterioration (Charitou et al., 2011).</w:t>
      </w:r>
    </w:p>
    <w:p w14:paraId="578DEB79"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The signaling perspective suggests early-stage firms may adopt higher-quality reporting to convey positive prospects and attract financing (Cardoso et al., 2023; Leto et al., 2020). Findings are mixed; accrual quality may peak during maturity with weaker quality in introduction and decline stages (</w:t>
      </w:r>
      <w:proofErr w:type="spellStart"/>
      <w:r w:rsidRPr="00C862C2">
        <w:rPr>
          <w:rFonts w:ascii="Times New Roman" w:eastAsia="Times New Roman" w:hAnsi="Times New Roman" w:cs="Times New Roman"/>
        </w:rPr>
        <w:t>Elkida</w:t>
      </w:r>
      <w:proofErr w:type="spellEnd"/>
      <w:r w:rsidRPr="00C862C2">
        <w:rPr>
          <w:rFonts w:ascii="Times New Roman" w:eastAsia="Times New Roman" w:hAnsi="Times New Roman" w:cs="Times New Roman"/>
        </w:rPr>
        <w:t xml:space="preserve"> &amp; Gill, 2024). Patterns of conservatism vary across stages and depend on firm-specific and institutional factors (Abdullah &amp; Mohamed-Saleh, 2014; Maleki et al., 2019).</w:t>
      </w:r>
    </w:p>
    <w:p w14:paraId="7A8F626F"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Recent studies highlight moderating effects: conservatism's impact on earnings management and reporting quality varies by life cycle stage (</w:t>
      </w:r>
      <w:proofErr w:type="spellStart"/>
      <w:r w:rsidRPr="00C862C2">
        <w:rPr>
          <w:rFonts w:ascii="Times New Roman" w:eastAsia="Times New Roman" w:hAnsi="Times New Roman" w:cs="Times New Roman"/>
        </w:rPr>
        <w:t>Hartam</w:t>
      </w:r>
      <w:proofErr w:type="spellEnd"/>
      <w:r w:rsidRPr="00C862C2">
        <w:rPr>
          <w:rFonts w:ascii="Times New Roman" w:eastAsia="Times New Roman" w:hAnsi="Times New Roman" w:cs="Times New Roman"/>
        </w:rPr>
        <w:t xml:space="preserve"> et al., 2021), and differences exist in comparability (Sabbah-Saleh et al., 2024) and leverage sensitivity (</w:t>
      </w:r>
      <w:proofErr w:type="spellStart"/>
      <w:r w:rsidRPr="00C862C2">
        <w:rPr>
          <w:rFonts w:ascii="Times New Roman" w:eastAsia="Times New Roman" w:hAnsi="Times New Roman" w:cs="Times New Roman"/>
        </w:rPr>
        <w:t>Siddighi</w:t>
      </w:r>
      <w:proofErr w:type="spellEnd"/>
      <w:r w:rsidRPr="00C862C2">
        <w:rPr>
          <w:rFonts w:ascii="Times New Roman" w:eastAsia="Times New Roman" w:hAnsi="Times New Roman" w:cs="Times New Roman"/>
        </w:rPr>
        <w:t xml:space="preserve"> et al., 2023). Despite advances, evidence remains fragmented.</w:t>
      </w:r>
    </w:p>
    <w:p w14:paraId="69C04896"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b/>
          <w:bCs/>
        </w:rPr>
        <w:t>H1:</w:t>
      </w:r>
      <w:r w:rsidRPr="00C862C2">
        <w:rPr>
          <w:rFonts w:ascii="Times New Roman" w:eastAsia="Times New Roman" w:hAnsi="Times New Roman" w:cs="Times New Roman"/>
        </w:rPr>
        <w:t xml:space="preserve"> The level of accounting conservatism varies across corporate life cycle stages.</w:t>
      </w:r>
    </w:p>
    <w:p w14:paraId="10ADA3E6" w14:textId="77777777" w:rsidR="00BB30F0" w:rsidRPr="00C862C2" w:rsidRDefault="00BB30F0" w:rsidP="00C862C2">
      <w:pPr>
        <w:spacing w:after="0" w:line="240" w:lineRule="auto"/>
        <w:jc w:val="both"/>
        <w:rPr>
          <w:rFonts w:ascii="Times New Roman" w:eastAsia="Times New Roman" w:hAnsi="Times New Roman" w:cs="Times New Roman"/>
        </w:rPr>
      </w:pPr>
    </w:p>
    <w:p w14:paraId="70755644" w14:textId="77777777" w:rsidR="00BB30F0" w:rsidRPr="00C862C2" w:rsidRDefault="00BB30F0" w:rsidP="00C862C2">
      <w:pPr>
        <w:spacing w:after="0" w:line="240" w:lineRule="auto"/>
        <w:jc w:val="both"/>
        <w:outlineLvl w:val="2"/>
        <w:rPr>
          <w:rFonts w:ascii="Times New Roman" w:eastAsia="Times New Roman" w:hAnsi="Times New Roman" w:cs="Times New Roman"/>
          <w:b/>
          <w:bCs/>
        </w:rPr>
      </w:pPr>
      <w:r w:rsidRPr="00C862C2">
        <w:rPr>
          <w:rFonts w:ascii="Times New Roman" w:eastAsia="Times New Roman" w:hAnsi="Times New Roman" w:cs="Times New Roman"/>
          <w:b/>
          <w:bCs/>
        </w:rPr>
        <w:t>2.3. Environmental activities and the corporate life cycle</w:t>
      </w:r>
    </w:p>
    <w:p w14:paraId="607B52E1"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Environmental activities respond to economic incentives and stakeholder pressures, including shareholders, institutional investors, regulators, employees, and supply chain partners (</w:t>
      </w:r>
      <w:proofErr w:type="spellStart"/>
      <w:r w:rsidRPr="00C862C2">
        <w:rPr>
          <w:rFonts w:ascii="Times New Roman" w:eastAsia="Times New Roman" w:hAnsi="Times New Roman" w:cs="Times New Roman"/>
        </w:rPr>
        <w:t>Brogi</w:t>
      </w:r>
      <w:proofErr w:type="spellEnd"/>
      <w:r w:rsidRPr="00C862C2">
        <w:rPr>
          <w:rFonts w:ascii="Times New Roman" w:eastAsia="Times New Roman" w:hAnsi="Times New Roman" w:cs="Times New Roman"/>
        </w:rPr>
        <w:t xml:space="preserve"> &amp; </w:t>
      </w:r>
      <w:proofErr w:type="spellStart"/>
      <w:r w:rsidRPr="00C862C2">
        <w:rPr>
          <w:rFonts w:ascii="Times New Roman" w:eastAsia="Times New Roman" w:hAnsi="Times New Roman" w:cs="Times New Roman"/>
        </w:rPr>
        <w:t>Lagasio</w:t>
      </w:r>
      <w:proofErr w:type="spellEnd"/>
      <w:r w:rsidRPr="00C862C2">
        <w:rPr>
          <w:rFonts w:ascii="Times New Roman" w:eastAsia="Times New Roman" w:hAnsi="Times New Roman" w:cs="Times New Roman"/>
        </w:rPr>
        <w:t>, 2019; Conca et al., 2021; Omer et al., 2021; Yu et al., 2018). Environmental disclosure signals a firm’s willingness to allocate resources to social and environmental goals (Martínez‐Ferrero &amp; García‐Sánchez, 2022), but may involve symbolic reporting or “greenwashing.”</w:t>
      </w:r>
    </w:p>
    <w:p w14:paraId="76277C65"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Sustainability reporting has grown due to institutional and market pressures (Conca et al., 2021; Xie et al., 2019). Disclosure is linked to reputation, brand value, and investor perceptions (</w:t>
      </w:r>
      <w:proofErr w:type="spellStart"/>
      <w:r w:rsidRPr="00C862C2">
        <w:rPr>
          <w:rFonts w:ascii="Times New Roman" w:eastAsia="Times New Roman" w:hAnsi="Times New Roman" w:cs="Times New Roman"/>
        </w:rPr>
        <w:t>Harjoto</w:t>
      </w:r>
      <w:proofErr w:type="spellEnd"/>
      <w:r w:rsidRPr="00C862C2">
        <w:rPr>
          <w:rFonts w:ascii="Times New Roman" w:eastAsia="Times New Roman" w:hAnsi="Times New Roman" w:cs="Times New Roman"/>
        </w:rPr>
        <w:t xml:space="preserve"> et al., 2021; </w:t>
      </w:r>
      <w:proofErr w:type="spellStart"/>
      <w:r w:rsidRPr="00C862C2">
        <w:rPr>
          <w:rFonts w:ascii="Times New Roman" w:eastAsia="Times New Roman" w:hAnsi="Times New Roman" w:cs="Times New Roman"/>
        </w:rPr>
        <w:t>Brogi</w:t>
      </w:r>
      <w:proofErr w:type="spellEnd"/>
      <w:r w:rsidRPr="00C862C2">
        <w:rPr>
          <w:rFonts w:ascii="Times New Roman" w:eastAsia="Times New Roman" w:hAnsi="Times New Roman" w:cs="Times New Roman"/>
        </w:rPr>
        <w:t xml:space="preserve"> &amp; </w:t>
      </w:r>
      <w:proofErr w:type="spellStart"/>
      <w:r w:rsidRPr="00C862C2">
        <w:rPr>
          <w:rFonts w:ascii="Times New Roman" w:eastAsia="Times New Roman" w:hAnsi="Times New Roman" w:cs="Times New Roman"/>
        </w:rPr>
        <w:t>Lagasio</w:t>
      </w:r>
      <w:proofErr w:type="spellEnd"/>
      <w:r w:rsidRPr="00C862C2">
        <w:rPr>
          <w:rFonts w:ascii="Times New Roman" w:eastAsia="Times New Roman" w:hAnsi="Times New Roman" w:cs="Times New Roman"/>
        </w:rPr>
        <w:t xml:space="preserve">, 2019; Brooks &amp; Oikonomou, 2018; Li et al., 2018), but causal direction is unclear. More profitable firms may simply have greater resources for disclosure. Empirical evidence shows positive associations with ROA, ROE, profit margins, and market valuation (Aouadi &amp; </w:t>
      </w:r>
      <w:proofErr w:type="spellStart"/>
      <w:r w:rsidRPr="00C862C2">
        <w:rPr>
          <w:rFonts w:ascii="Times New Roman" w:eastAsia="Times New Roman" w:hAnsi="Times New Roman" w:cs="Times New Roman"/>
        </w:rPr>
        <w:t>Marsat</w:t>
      </w:r>
      <w:proofErr w:type="spellEnd"/>
      <w:r w:rsidRPr="00C862C2">
        <w:rPr>
          <w:rFonts w:ascii="Times New Roman" w:eastAsia="Times New Roman" w:hAnsi="Times New Roman" w:cs="Times New Roman"/>
        </w:rPr>
        <w:t>, 2018; Broadstock et al., 2021; Conca et al., 2021; Freed et al., 2015; García‐Sánchez et al., 2014; Li et al., 2018), but findings are inconsistent due to methodological differences and context variation.</w:t>
      </w:r>
    </w:p>
    <w:p w14:paraId="63DC15CA"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 xml:space="preserve">Agency theory views environmental disclosure as reducing conflicts between managers and shareholders (Jensen &amp; Meckling, 1976). Transparency can reduce information asymmetry and limit managerial opportunism (Kalash, 2020). However, selective disclosure or weak environmental performance may undermine credibility. Regulatory intervention, including mandatory disclosure, aims to reduce opportunism and improve comparability (Yahia, 2025; </w:t>
      </w:r>
      <w:proofErr w:type="spellStart"/>
      <w:r w:rsidRPr="00C862C2">
        <w:rPr>
          <w:rFonts w:ascii="Times New Roman" w:eastAsia="Times New Roman" w:hAnsi="Times New Roman" w:cs="Times New Roman"/>
        </w:rPr>
        <w:t>Sarifiyan</w:t>
      </w:r>
      <w:proofErr w:type="spellEnd"/>
      <w:r w:rsidRPr="00C862C2">
        <w:rPr>
          <w:rFonts w:ascii="Times New Roman" w:eastAsia="Times New Roman" w:hAnsi="Times New Roman" w:cs="Times New Roman"/>
        </w:rPr>
        <w:t xml:space="preserve"> et al., 2025), but may lead to superficial reporting.</w:t>
      </w:r>
    </w:p>
    <w:p w14:paraId="0D3CE431"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 xml:space="preserve">Corporate life cycle theory explains variations in environmental engagement, as stages differ in resources, strategies, and competitive pressures (Almeida &amp; Callado, 2021; </w:t>
      </w:r>
      <w:proofErr w:type="spellStart"/>
      <w:r w:rsidRPr="00C862C2">
        <w:rPr>
          <w:rFonts w:ascii="Times New Roman" w:eastAsia="Times New Roman" w:hAnsi="Times New Roman" w:cs="Times New Roman"/>
        </w:rPr>
        <w:t>Adizes</w:t>
      </w:r>
      <w:proofErr w:type="spellEnd"/>
      <w:r w:rsidRPr="00C862C2">
        <w:rPr>
          <w:rFonts w:ascii="Times New Roman" w:eastAsia="Times New Roman" w:hAnsi="Times New Roman" w:cs="Times New Roman"/>
        </w:rPr>
        <w:t>, 1979; Miller &amp; Friesen, 1980; Quinn &amp; Cameron, 1983; Torbert, 1975). Empirical findings are mixed: higher ESG-rated firms transition into growth and maturity (Huang &amp; Liu, 2025), while turbulent or financially constrained firms reduce social investment (Ferreira et al., 2022). Introduction-stage firms often have lower engagement, though environmental initiatives can yield financial benefits (Moreira et al., 2023). In Iran, CSR impact varies by stage, with no effect in decline (</w:t>
      </w:r>
      <w:proofErr w:type="spellStart"/>
      <w:r w:rsidRPr="00C862C2">
        <w:rPr>
          <w:rFonts w:ascii="Times New Roman" w:eastAsia="Times New Roman" w:hAnsi="Times New Roman" w:cs="Times New Roman"/>
        </w:rPr>
        <w:t>Ghadim</w:t>
      </w:r>
      <w:proofErr w:type="spellEnd"/>
      <w:r w:rsidRPr="00C862C2">
        <w:rPr>
          <w:rFonts w:ascii="Times New Roman" w:eastAsia="Times New Roman" w:hAnsi="Times New Roman" w:cs="Times New Roman"/>
        </w:rPr>
        <w:t xml:space="preserve"> &amp; Vaez, 2021).</w:t>
      </w:r>
    </w:p>
    <w:p w14:paraId="740ADE4D"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Overall, the relationship between life cycle stages and environmental disclosure is fragmented and context-dependent, suggesting the need for further study.</w:t>
      </w:r>
    </w:p>
    <w:p w14:paraId="5FFF1A25" w14:textId="77777777" w:rsidR="00BB30F0" w:rsidRPr="00C862C2" w:rsidRDefault="00BB30F0"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b/>
          <w:bCs/>
        </w:rPr>
        <w:t>H2:</w:t>
      </w:r>
      <w:r w:rsidRPr="00C862C2">
        <w:rPr>
          <w:rFonts w:ascii="Times New Roman" w:eastAsia="Times New Roman" w:hAnsi="Times New Roman" w:cs="Times New Roman"/>
        </w:rPr>
        <w:t xml:space="preserve"> The level of environmental disclosure varies across corporate life cycle stages.</w:t>
      </w:r>
    </w:p>
    <w:p w14:paraId="589AE61D" w14:textId="77777777" w:rsidR="00BB30F0" w:rsidRPr="00C862C2" w:rsidRDefault="00BB30F0" w:rsidP="00C862C2">
      <w:pPr>
        <w:pStyle w:val="NormalWeb"/>
        <w:spacing w:before="0" w:beforeAutospacing="0" w:after="0" w:afterAutospacing="0"/>
        <w:jc w:val="both"/>
        <w:rPr>
          <w:sz w:val="22"/>
          <w:szCs w:val="22"/>
        </w:rPr>
      </w:pPr>
    </w:p>
    <w:p w14:paraId="497ADD39" w14:textId="77777777" w:rsidR="00B83CC3" w:rsidRDefault="00B83CC3" w:rsidP="00C862C2">
      <w:pPr>
        <w:pStyle w:val="Heading2"/>
        <w:spacing w:before="0" w:line="240" w:lineRule="auto"/>
        <w:jc w:val="both"/>
        <w:rPr>
          <w:rStyle w:val="Strong"/>
          <w:rFonts w:ascii="Times New Roman" w:hAnsi="Times New Roman" w:cs="Times New Roman"/>
          <w:b/>
          <w:bCs/>
          <w:color w:val="auto"/>
          <w:sz w:val="22"/>
          <w:szCs w:val="22"/>
        </w:rPr>
      </w:pPr>
      <w:r w:rsidRPr="00C862C2">
        <w:rPr>
          <w:rStyle w:val="Strong"/>
          <w:rFonts w:ascii="Times New Roman" w:hAnsi="Times New Roman" w:cs="Times New Roman"/>
          <w:b/>
          <w:bCs/>
          <w:color w:val="auto"/>
          <w:sz w:val="22"/>
          <w:szCs w:val="22"/>
        </w:rPr>
        <w:t>3. Research Methodology</w:t>
      </w:r>
    </w:p>
    <w:p w14:paraId="75734E36" w14:textId="77777777" w:rsidR="00C862C2" w:rsidRPr="00C862C2" w:rsidRDefault="00C862C2" w:rsidP="00C862C2">
      <w:pPr>
        <w:spacing w:after="0"/>
      </w:pPr>
    </w:p>
    <w:p w14:paraId="0985A2C3" w14:textId="77777777" w:rsidR="00214CA4" w:rsidRPr="00C862C2" w:rsidRDefault="00214CA4" w:rsidP="00C862C2">
      <w:pPr>
        <w:spacing w:after="0" w:line="240" w:lineRule="auto"/>
        <w:jc w:val="both"/>
        <w:rPr>
          <w:rFonts w:ascii="Times New Roman" w:hAnsi="Times New Roman" w:cs="Times New Roman"/>
          <w:b/>
          <w:bCs/>
        </w:rPr>
      </w:pPr>
      <w:r w:rsidRPr="00C862C2">
        <w:rPr>
          <w:rFonts w:ascii="Times New Roman" w:hAnsi="Times New Roman" w:cs="Times New Roman"/>
          <w:b/>
          <w:bCs/>
        </w:rPr>
        <w:t>3.1. Research context and case selection</w:t>
      </w:r>
    </w:p>
    <w:p w14:paraId="66C1B827" w14:textId="77777777" w:rsidR="00B83CC3" w:rsidRPr="00C862C2" w:rsidRDefault="00B83CC3" w:rsidP="00C862C2">
      <w:pPr>
        <w:pStyle w:val="NormalWeb"/>
        <w:spacing w:before="0" w:beforeAutospacing="0" w:after="0" w:afterAutospacing="0"/>
        <w:jc w:val="both"/>
        <w:rPr>
          <w:sz w:val="22"/>
          <w:szCs w:val="22"/>
        </w:rPr>
      </w:pPr>
      <w:r w:rsidRPr="00C862C2">
        <w:rPr>
          <w:sz w:val="22"/>
          <w:szCs w:val="22"/>
        </w:rPr>
        <w:t>This study is applied in purpose and adopts a descriptive ex post facto research design. The statistical population comprises all firms listed on the Tehran Stock Exchange (TSE) that were active between 2015 and 2022. The sample was selected based on the following criteria, resulting in 140 firms (1,120 firm–year observations):</w:t>
      </w:r>
    </w:p>
    <w:p w14:paraId="30C29B8B" w14:textId="77777777" w:rsidR="00B83CC3" w:rsidRPr="00C862C2" w:rsidRDefault="00B83CC3" w:rsidP="00C862C2">
      <w:pPr>
        <w:pStyle w:val="NormalWeb"/>
        <w:numPr>
          <w:ilvl w:val="0"/>
          <w:numId w:val="1"/>
        </w:numPr>
        <w:spacing w:before="0" w:beforeAutospacing="0" w:after="0" w:afterAutospacing="0"/>
        <w:jc w:val="both"/>
        <w:rPr>
          <w:sz w:val="22"/>
          <w:szCs w:val="22"/>
        </w:rPr>
      </w:pPr>
      <w:r w:rsidRPr="00C862C2">
        <w:rPr>
          <w:sz w:val="22"/>
          <w:szCs w:val="22"/>
        </w:rPr>
        <w:t xml:space="preserve">The firm does </w:t>
      </w:r>
      <w:r w:rsidRPr="00C862C2">
        <w:rPr>
          <w:rStyle w:val="Strong"/>
          <w:b w:val="0"/>
          <w:bCs w:val="0"/>
          <w:sz w:val="22"/>
          <w:szCs w:val="22"/>
        </w:rPr>
        <w:t>not</w:t>
      </w:r>
      <w:r w:rsidRPr="00C862C2">
        <w:rPr>
          <w:sz w:val="22"/>
          <w:szCs w:val="22"/>
        </w:rPr>
        <w:t xml:space="preserve"> operate in the financial intermediary industry, due to differences in capital structure.</w:t>
      </w:r>
    </w:p>
    <w:p w14:paraId="34D5E223" w14:textId="77777777" w:rsidR="00B83CC3" w:rsidRPr="00C862C2" w:rsidRDefault="00B83CC3" w:rsidP="00C862C2">
      <w:pPr>
        <w:pStyle w:val="NormalWeb"/>
        <w:numPr>
          <w:ilvl w:val="0"/>
          <w:numId w:val="1"/>
        </w:numPr>
        <w:spacing w:before="0" w:beforeAutospacing="0" w:after="0" w:afterAutospacing="0"/>
        <w:jc w:val="both"/>
        <w:rPr>
          <w:sz w:val="22"/>
          <w:szCs w:val="22"/>
        </w:rPr>
      </w:pPr>
      <w:r w:rsidRPr="00C862C2">
        <w:rPr>
          <w:sz w:val="22"/>
          <w:szCs w:val="22"/>
        </w:rPr>
        <w:t>The firm was listed on the TSE before the beginning of 2015.</w:t>
      </w:r>
    </w:p>
    <w:p w14:paraId="0C512CDD" w14:textId="77777777" w:rsidR="00B83CC3" w:rsidRPr="00C862C2" w:rsidRDefault="00B83CC3" w:rsidP="00C862C2">
      <w:pPr>
        <w:pStyle w:val="NormalWeb"/>
        <w:numPr>
          <w:ilvl w:val="0"/>
          <w:numId w:val="1"/>
        </w:numPr>
        <w:spacing w:before="0" w:beforeAutospacing="0" w:after="0" w:afterAutospacing="0"/>
        <w:jc w:val="both"/>
        <w:rPr>
          <w:sz w:val="22"/>
          <w:szCs w:val="22"/>
        </w:rPr>
      </w:pPr>
      <w:r w:rsidRPr="00C862C2">
        <w:rPr>
          <w:sz w:val="22"/>
          <w:szCs w:val="22"/>
        </w:rPr>
        <w:t>The firm’s trading symbol was not suspended for more than three months during the study period.</w:t>
      </w:r>
    </w:p>
    <w:p w14:paraId="2132CD17" w14:textId="77777777" w:rsidR="00B83CC3" w:rsidRPr="00C862C2" w:rsidRDefault="00B83CC3" w:rsidP="00C862C2">
      <w:pPr>
        <w:pStyle w:val="NormalWeb"/>
        <w:numPr>
          <w:ilvl w:val="0"/>
          <w:numId w:val="1"/>
        </w:numPr>
        <w:spacing w:before="0" w:beforeAutospacing="0" w:after="0" w:afterAutospacing="0"/>
        <w:jc w:val="both"/>
        <w:rPr>
          <w:sz w:val="22"/>
          <w:szCs w:val="22"/>
        </w:rPr>
      </w:pPr>
      <w:r w:rsidRPr="00C862C2">
        <w:rPr>
          <w:sz w:val="22"/>
          <w:szCs w:val="22"/>
        </w:rPr>
        <w:t>Required financial and market data were available.</w:t>
      </w:r>
    </w:p>
    <w:p w14:paraId="34F2A4AD" w14:textId="77777777" w:rsidR="00B83CC3" w:rsidRPr="00C862C2" w:rsidRDefault="00B83CC3" w:rsidP="00C862C2">
      <w:pPr>
        <w:pStyle w:val="NormalWeb"/>
        <w:numPr>
          <w:ilvl w:val="0"/>
          <w:numId w:val="1"/>
        </w:numPr>
        <w:spacing w:before="0" w:beforeAutospacing="0" w:after="0" w:afterAutospacing="0"/>
        <w:jc w:val="both"/>
        <w:rPr>
          <w:sz w:val="22"/>
          <w:szCs w:val="22"/>
        </w:rPr>
      </w:pPr>
      <w:r w:rsidRPr="00C862C2">
        <w:rPr>
          <w:sz w:val="22"/>
          <w:szCs w:val="22"/>
        </w:rPr>
        <w:t>The fiscal year ended on March 20 (29/12).</w:t>
      </w:r>
    </w:p>
    <w:p w14:paraId="5BA458F6" w14:textId="77777777" w:rsidR="00B83CC3" w:rsidRDefault="00B83CC3" w:rsidP="00C862C2">
      <w:pPr>
        <w:pStyle w:val="NormalWeb"/>
        <w:numPr>
          <w:ilvl w:val="0"/>
          <w:numId w:val="1"/>
        </w:numPr>
        <w:spacing w:before="0" w:beforeAutospacing="0" w:after="0" w:afterAutospacing="0"/>
        <w:jc w:val="both"/>
        <w:rPr>
          <w:sz w:val="22"/>
          <w:szCs w:val="22"/>
        </w:rPr>
      </w:pPr>
      <w:r w:rsidRPr="00C862C2">
        <w:rPr>
          <w:sz w:val="22"/>
          <w:szCs w:val="22"/>
        </w:rPr>
        <w:t>The firm did not change its fiscal year during the 2015–2022 period.</w:t>
      </w:r>
    </w:p>
    <w:p w14:paraId="1BF0D363" w14:textId="77777777" w:rsidR="00C862C2" w:rsidRPr="00C862C2" w:rsidRDefault="00C862C2" w:rsidP="00C862C2">
      <w:pPr>
        <w:pStyle w:val="NormalWeb"/>
        <w:spacing w:before="0" w:beforeAutospacing="0" w:after="0" w:afterAutospacing="0"/>
        <w:ind w:left="720"/>
        <w:jc w:val="both"/>
        <w:rPr>
          <w:sz w:val="22"/>
          <w:szCs w:val="22"/>
        </w:rPr>
      </w:pPr>
    </w:p>
    <w:p w14:paraId="51D02D93" w14:textId="77777777" w:rsidR="00B83CC3" w:rsidRPr="00C862C2" w:rsidRDefault="00B83CC3" w:rsidP="00C862C2">
      <w:pPr>
        <w:pStyle w:val="Heading2"/>
        <w:spacing w:before="0" w:line="240" w:lineRule="auto"/>
        <w:jc w:val="both"/>
        <w:rPr>
          <w:rFonts w:ascii="Times New Roman" w:hAnsi="Times New Roman" w:cs="Times New Roman"/>
          <w:b w:val="0"/>
          <w:bCs w:val="0"/>
          <w:color w:val="auto"/>
          <w:sz w:val="22"/>
          <w:szCs w:val="22"/>
        </w:rPr>
      </w:pPr>
      <w:r w:rsidRPr="00C862C2">
        <w:rPr>
          <w:rStyle w:val="Strong"/>
          <w:rFonts w:ascii="Times New Roman" w:hAnsi="Times New Roman" w:cs="Times New Roman"/>
          <w:b/>
          <w:bCs/>
          <w:color w:val="auto"/>
          <w:sz w:val="22"/>
          <w:szCs w:val="22"/>
        </w:rPr>
        <w:t>3.</w:t>
      </w:r>
      <w:r w:rsidR="00214CA4" w:rsidRPr="00C862C2">
        <w:rPr>
          <w:rStyle w:val="Strong"/>
          <w:rFonts w:ascii="Times New Roman" w:hAnsi="Times New Roman" w:cs="Times New Roman"/>
          <w:b/>
          <w:bCs/>
          <w:color w:val="auto"/>
          <w:sz w:val="22"/>
          <w:szCs w:val="22"/>
        </w:rPr>
        <w:t>2.</w:t>
      </w:r>
      <w:r w:rsidRPr="00C862C2">
        <w:rPr>
          <w:rStyle w:val="Strong"/>
          <w:rFonts w:ascii="Times New Roman" w:hAnsi="Times New Roman" w:cs="Times New Roman"/>
          <w:b/>
          <w:bCs/>
          <w:color w:val="auto"/>
          <w:sz w:val="22"/>
          <w:szCs w:val="22"/>
        </w:rPr>
        <w:t xml:space="preserve"> Regression </w:t>
      </w:r>
      <w:r w:rsidR="00EB23BC" w:rsidRPr="00C862C2">
        <w:rPr>
          <w:rStyle w:val="Strong"/>
          <w:rFonts w:ascii="Times New Roman" w:hAnsi="Times New Roman" w:cs="Times New Roman"/>
          <w:b/>
          <w:bCs/>
          <w:color w:val="auto"/>
          <w:sz w:val="22"/>
          <w:szCs w:val="22"/>
        </w:rPr>
        <w:t>m</w:t>
      </w:r>
      <w:r w:rsidRPr="00C862C2">
        <w:rPr>
          <w:rStyle w:val="Strong"/>
          <w:rFonts w:ascii="Times New Roman" w:hAnsi="Times New Roman" w:cs="Times New Roman"/>
          <w:b/>
          <w:bCs/>
          <w:color w:val="auto"/>
          <w:sz w:val="22"/>
          <w:szCs w:val="22"/>
        </w:rPr>
        <w:t xml:space="preserve">odel </w:t>
      </w:r>
      <w:r w:rsidR="00EB23BC" w:rsidRPr="00C862C2">
        <w:rPr>
          <w:rStyle w:val="Strong"/>
          <w:rFonts w:ascii="Times New Roman" w:hAnsi="Times New Roman" w:cs="Times New Roman"/>
          <w:b/>
          <w:bCs/>
          <w:color w:val="auto"/>
          <w:sz w:val="22"/>
          <w:szCs w:val="22"/>
        </w:rPr>
        <w:t>d</w:t>
      </w:r>
      <w:r w:rsidRPr="00C862C2">
        <w:rPr>
          <w:rStyle w:val="Strong"/>
          <w:rFonts w:ascii="Times New Roman" w:hAnsi="Times New Roman" w:cs="Times New Roman"/>
          <w:b/>
          <w:bCs/>
          <w:color w:val="auto"/>
          <w:sz w:val="22"/>
          <w:szCs w:val="22"/>
        </w:rPr>
        <w:t>evelopment</w:t>
      </w:r>
    </w:p>
    <w:p w14:paraId="3A714C60" w14:textId="77777777" w:rsidR="00560929" w:rsidRPr="00C862C2" w:rsidRDefault="00B83CC3" w:rsidP="00C862C2">
      <w:pPr>
        <w:pStyle w:val="NormalWeb"/>
        <w:spacing w:before="0" w:beforeAutospacing="0" w:after="0" w:afterAutospacing="0"/>
        <w:jc w:val="both"/>
        <w:rPr>
          <w:sz w:val="22"/>
          <w:szCs w:val="22"/>
        </w:rPr>
      </w:pPr>
      <w:r w:rsidRPr="00C862C2">
        <w:rPr>
          <w:sz w:val="22"/>
          <w:szCs w:val="22"/>
        </w:rPr>
        <w:t>To examine environmental disclosure and accounting conservatism across corporate life cycle stages, the following regression models are employed in line with prior studies (Moreira et al., 2023; Xie et al., 2022; Atif et</w:t>
      </w:r>
      <w:r w:rsidR="008D1838" w:rsidRPr="00C862C2">
        <w:rPr>
          <w:sz w:val="22"/>
          <w:szCs w:val="22"/>
        </w:rPr>
        <w:t xml:space="preserve"> al., 2022; Shah et al., 2021):</w:t>
      </w:r>
    </w:p>
    <w:p w14:paraId="278BCEE6" w14:textId="77777777" w:rsidR="00560929" w:rsidRPr="00C862C2" w:rsidRDefault="00560929"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(1)</w:t>
      </w:r>
    </w:p>
    <w:p w14:paraId="398D2718" w14:textId="73F43484" w:rsidR="00B83CC3" w:rsidRPr="00C862C2" w:rsidRDefault="00000000" w:rsidP="00C862C2">
      <w:pPr>
        <w:spacing w:after="0" w:line="240" w:lineRule="auto"/>
        <w:jc w:val="both"/>
        <w:rPr>
          <w:rFonts w:ascii="Times New Roman" w:eastAsiaTheme="minorEastAsia" w:hAnsi="Times New Roman" w:cs="Times New Roman"/>
        </w:rPr>
      </w:pPr>
      <m:oMathPara>
        <m:oMath>
          <m:sSub>
            <m:sSubPr>
              <m:ctrlPr>
                <w:rPr>
                  <w:rFonts w:ascii="Cambria Math" w:hAnsi="Cambria Math" w:cs="Times New Roman"/>
                </w:rPr>
              </m:ctrlPr>
            </m:sSubPr>
            <m:e>
              <m:r>
                <w:rPr>
                  <w:rFonts w:ascii="Cambria Math" w:hAnsi="Cambria Math" w:cs="Times New Roman"/>
                </w:rPr>
                <m:t>CONS</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FLC</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2</m:t>
              </m:r>
            </m:sub>
          </m:sSub>
          <m:sSub>
            <m:sSubPr>
              <m:ctrlPr>
                <w:rPr>
                  <w:rFonts w:ascii="Cambria Math" w:hAnsi="Cambria Math" w:cs="Times New Roman"/>
                </w:rPr>
              </m:ctrlPr>
            </m:sSubPr>
            <m:e>
              <m:r>
                <w:rPr>
                  <w:rFonts w:ascii="Cambria Math" w:hAnsi="Cambria Math" w:cs="Times New Roman"/>
                </w:rPr>
                <m:t>SIZE</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3</m:t>
              </m:r>
            </m:sub>
          </m:sSub>
          <m:sSub>
            <m:sSubPr>
              <m:ctrlPr>
                <w:rPr>
                  <w:rFonts w:ascii="Cambria Math" w:hAnsi="Cambria Math" w:cs="Times New Roman"/>
                </w:rPr>
              </m:ctrlPr>
            </m:sSubPr>
            <m:e>
              <m:r>
                <w:rPr>
                  <w:rFonts w:ascii="Cambria Math" w:hAnsi="Cambria Math" w:cs="Times New Roman"/>
                </w:rPr>
                <m:t>LEV</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4</m:t>
              </m:r>
            </m:sub>
          </m:sSub>
          <m:sSub>
            <m:sSubPr>
              <m:ctrlPr>
                <w:rPr>
                  <w:rFonts w:ascii="Cambria Math" w:hAnsi="Cambria Math" w:cs="Times New Roman"/>
                </w:rPr>
              </m:ctrlPr>
            </m:sSubPr>
            <m:e>
              <m:r>
                <w:rPr>
                  <w:rFonts w:ascii="Cambria Math" w:hAnsi="Cambria Math" w:cs="Times New Roman"/>
                </w:rPr>
                <m:t>ROA</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5</m:t>
              </m:r>
            </m:sub>
          </m:sSub>
          <m:sSub>
            <m:sSubPr>
              <m:ctrlPr>
                <w:rPr>
                  <w:rFonts w:ascii="Cambria Math" w:hAnsi="Cambria Math" w:cs="Times New Roman"/>
                </w:rPr>
              </m:ctrlPr>
            </m:sSubPr>
            <m:e>
              <m:r>
                <w:rPr>
                  <w:rFonts w:ascii="Cambria Math" w:hAnsi="Cambria Math" w:cs="Times New Roman"/>
                </w:rPr>
                <m:t>OCF</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6</m:t>
              </m:r>
            </m:sub>
          </m:sSub>
          <m:sSub>
            <m:sSubPr>
              <m:ctrlPr>
                <w:rPr>
                  <w:rFonts w:ascii="Cambria Math" w:hAnsi="Cambria Math" w:cs="Times New Roman"/>
                </w:rPr>
              </m:ctrlPr>
            </m:sSubPr>
            <m:e>
              <m:r>
                <w:rPr>
                  <w:rFonts w:ascii="Cambria Math" w:hAnsi="Cambria Math" w:cs="Times New Roman"/>
                </w:rPr>
                <m:t>SG</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7</m:t>
              </m:r>
            </m:sub>
          </m:sSub>
          <m:sSub>
            <m:sSubPr>
              <m:ctrlPr>
                <w:rPr>
                  <w:rFonts w:ascii="Cambria Math" w:hAnsi="Cambria Math" w:cs="Times New Roman"/>
                </w:rPr>
              </m:ctrlPr>
            </m:sSubPr>
            <m:e>
              <m:r>
                <w:rPr>
                  <w:rFonts w:ascii="Cambria Math" w:hAnsi="Cambria Math" w:cs="Times New Roman"/>
                </w:rPr>
                <m:t>BIG</m:t>
              </m:r>
            </m:e>
            <m:sub>
              <m:r>
                <w:rPr>
                  <w:rFonts w:ascii="Cambria Math" w:hAnsi="Cambria Math" w:cs="Times New Roman"/>
                </w:rPr>
                <m:t>it</m:t>
              </m:r>
            </m:sub>
          </m:sSub>
          <m:r>
            <m:rPr>
              <m:sty m:val="p"/>
            </m:rPr>
            <w:rPr>
              <w:rFonts w:ascii="Cambria Math" w:hAnsi="Cambria Math" w:cs="Times New Roman"/>
            </w:rPr>
            <m:t>+</m:t>
          </m:r>
          <m:nary>
            <m:naryPr>
              <m:chr m:val="∑"/>
              <m:limLoc m:val="undOvr"/>
              <m:subHide m:val="1"/>
              <m:supHide m:val="1"/>
              <m:ctrlPr>
                <w:rPr>
                  <w:rFonts w:ascii="Cambria Math" w:hAnsi="Cambria Math" w:cs="Times New Roman"/>
                </w:rPr>
              </m:ctrlPr>
            </m:naryPr>
            <m:sub/>
            <m:sup/>
            <m:e>
              <m:r>
                <w:rPr>
                  <w:rFonts w:ascii="Cambria Math" w:hAnsi="Cambria Math" w:cs="Times New Roman"/>
                </w:rPr>
                <m:t>YEARS</m:t>
              </m:r>
            </m:e>
          </m:nary>
          <m:r>
            <m:rPr>
              <m:sty m:val="p"/>
            </m:rPr>
            <w:rPr>
              <w:rFonts w:ascii="Cambria Math" w:hAnsi="Cambria Math" w:cs="Times New Roman"/>
            </w:rPr>
            <m:t>+</m:t>
          </m:r>
          <m:nary>
            <m:naryPr>
              <m:chr m:val="∑"/>
              <m:limLoc m:val="undOvr"/>
              <m:subHide m:val="1"/>
              <m:supHide m:val="1"/>
              <m:ctrlPr>
                <w:rPr>
                  <w:rFonts w:ascii="Cambria Math" w:hAnsi="Cambria Math" w:cs="Times New Roman"/>
                </w:rPr>
              </m:ctrlPr>
            </m:naryPr>
            <m:sub/>
            <m:sup/>
            <m:e>
              <m:r>
                <w:rPr>
                  <w:rFonts w:ascii="Cambria Math" w:hAnsi="Cambria Math" w:cs="Times New Roman"/>
                </w:rPr>
                <m:t>IND</m:t>
              </m:r>
            </m:e>
          </m:nary>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oMath>
      </m:oMathPara>
    </w:p>
    <w:p w14:paraId="77219FE1" w14:textId="77777777" w:rsidR="00560929" w:rsidRPr="00C862C2" w:rsidRDefault="00560929" w:rsidP="00C862C2">
      <w:pPr>
        <w:spacing w:after="0" w:line="240" w:lineRule="auto"/>
        <w:jc w:val="both"/>
        <w:rPr>
          <w:rFonts w:ascii="Times New Roman" w:eastAsiaTheme="minorEastAsia" w:hAnsi="Times New Roman" w:cs="Times New Roman"/>
        </w:rPr>
      </w:pPr>
      <w:r w:rsidRPr="00C862C2">
        <w:rPr>
          <w:rFonts w:ascii="Times New Roman" w:eastAsiaTheme="minorEastAsia" w:hAnsi="Times New Roman" w:cs="Times New Roman"/>
        </w:rPr>
        <w:t>(2)</w:t>
      </w:r>
    </w:p>
    <w:p w14:paraId="5FFF649C" w14:textId="4EC780E9" w:rsidR="00560929" w:rsidRPr="00C862C2" w:rsidRDefault="00000000" w:rsidP="00C862C2">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ED</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FLC</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2</m:t>
              </m:r>
            </m:sub>
          </m:sSub>
          <m:sSub>
            <m:sSubPr>
              <m:ctrlPr>
                <w:rPr>
                  <w:rFonts w:ascii="Cambria Math" w:hAnsi="Cambria Math" w:cs="Times New Roman"/>
                </w:rPr>
              </m:ctrlPr>
            </m:sSubPr>
            <m:e>
              <m:r>
                <w:rPr>
                  <w:rFonts w:ascii="Cambria Math" w:hAnsi="Cambria Math" w:cs="Times New Roman"/>
                </w:rPr>
                <m:t>SIZE</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3</m:t>
              </m:r>
            </m:sub>
          </m:sSub>
          <m:sSub>
            <m:sSubPr>
              <m:ctrlPr>
                <w:rPr>
                  <w:rFonts w:ascii="Cambria Math" w:hAnsi="Cambria Math" w:cs="Times New Roman"/>
                </w:rPr>
              </m:ctrlPr>
            </m:sSubPr>
            <m:e>
              <m:r>
                <w:rPr>
                  <w:rFonts w:ascii="Cambria Math" w:hAnsi="Cambria Math" w:cs="Times New Roman"/>
                </w:rPr>
                <m:t>LEV</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4</m:t>
              </m:r>
            </m:sub>
          </m:sSub>
          <m:sSub>
            <m:sSubPr>
              <m:ctrlPr>
                <w:rPr>
                  <w:rFonts w:ascii="Cambria Math" w:hAnsi="Cambria Math" w:cs="Times New Roman"/>
                </w:rPr>
              </m:ctrlPr>
            </m:sSubPr>
            <m:e>
              <m:r>
                <w:rPr>
                  <w:rFonts w:ascii="Cambria Math" w:hAnsi="Cambria Math" w:cs="Times New Roman"/>
                </w:rPr>
                <m:t>ROA</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5</m:t>
              </m:r>
            </m:sub>
          </m:sSub>
          <m:sSub>
            <m:sSubPr>
              <m:ctrlPr>
                <w:rPr>
                  <w:rFonts w:ascii="Cambria Math" w:hAnsi="Cambria Math" w:cs="Times New Roman"/>
                </w:rPr>
              </m:ctrlPr>
            </m:sSubPr>
            <m:e>
              <m:r>
                <w:rPr>
                  <w:rFonts w:ascii="Cambria Math" w:hAnsi="Cambria Math" w:cs="Times New Roman"/>
                </w:rPr>
                <m:t>OCF</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6</m:t>
              </m:r>
            </m:sub>
          </m:sSub>
          <m:sSub>
            <m:sSubPr>
              <m:ctrlPr>
                <w:rPr>
                  <w:rFonts w:ascii="Cambria Math" w:hAnsi="Cambria Math" w:cs="Times New Roman"/>
                </w:rPr>
              </m:ctrlPr>
            </m:sSubPr>
            <m:e>
              <m:r>
                <w:rPr>
                  <w:rFonts w:ascii="Cambria Math" w:hAnsi="Cambria Math" w:cs="Times New Roman"/>
                </w:rPr>
                <m:t>SG</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7</m:t>
              </m:r>
            </m:sub>
          </m:sSub>
          <m:sSub>
            <m:sSubPr>
              <m:ctrlPr>
                <w:rPr>
                  <w:rFonts w:ascii="Cambria Math" w:hAnsi="Cambria Math" w:cs="Times New Roman"/>
                </w:rPr>
              </m:ctrlPr>
            </m:sSubPr>
            <m:e>
              <m:r>
                <w:rPr>
                  <w:rFonts w:ascii="Cambria Math" w:hAnsi="Cambria Math" w:cs="Times New Roman"/>
                </w:rPr>
                <m:t>BIG</m:t>
              </m:r>
            </m:e>
            <m:sub>
              <m:r>
                <w:rPr>
                  <w:rFonts w:ascii="Cambria Math" w:hAnsi="Cambria Math" w:cs="Times New Roman"/>
                </w:rPr>
                <m:t>it</m:t>
              </m:r>
            </m:sub>
          </m:sSub>
          <m:r>
            <m:rPr>
              <m:sty m:val="p"/>
            </m:rPr>
            <w:rPr>
              <w:rFonts w:ascii="Cambria Math" w:hAnsi="Cambria Math" w:cs="Times New Roman"/>
            </w:rPr>
            <m:t>+</m:t>
          </m:r>
          <m:nary>
            <m:naryPr>
              <m:chr m:val="∑"/>
              <m:limLoc m:val="undOvr"/>
              <m:subHide m:val="1"/>
              <m:supHide m:val="1"/>
              <m:ctrlPr>
                <w:rPr>
                  <w:rFonts w:ascii="Cambria Math" w:hAnsi="Cambria Math" w:cs="Times New Roman"/>
                </w:rPr>
              </m:ctrlPr>
            </m:naryPr>
            <m:sub/>
            <m:sup/>
            <m:e>
              <m:r>
                <w:rPr>
                  <w:rFonts w:ascii="Cambria Math" w:hAnsi="Cambria Math" w:cs="Times New Roman"/>
                </w:rPr>
                <m:t>YEARS</m:t>
              </m:r>
            </m:e>
          </m:nary>
          <m:r>
            <m:rPr>
              <m:sty m:val="p"/>
            </m:rPr>
            <w:rPr>
              <w:rFonts w:ascii="Cambria Math" w:hAnsi="Cambria Math" w:cs="Times New Roman"/>
            </w:rPr>
            <m:t>+</m:t>
          </m:r>
          <m:nary>
            <m:naryPr>
              <m:chr m:val="∑"/>
              <m:limLoc m:val="undOvr"/>
              <m:subHide m:val="1"/>
              <m:supHide m:val="1"/>
              <m:ctrlPr>
                <w:rPr>
                  <w:rFonts w:ascii="Cambria Math" w:hAnsi="Cambria Math" w:cs="Times New Roman"/>
                </w:rPr>
              </m:ctrlPr>
            </m:naryPr>
            <m:sub/>
            <m:sup/>
            <m:e>
              <m:r>
                <w:rPr>
                  <w:rFonts w:ascii="Cambria Math" w:hAnsi="Cambria Math" w:cs="Times New Roman"/>
                </w:rPr>
                <m:t>IND</m:t>
              </m:r>
            </m:e>
          </m:nary>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oMath>
      </m:oMathPara>
    </w:p>
    <w:p w14:paraId="36F1A6F4" w14:textId="77777777" w:rsidR="00C862C2" w:rsidRDefault="00C862C2" w:rsidP="00C862C2">
      <w:pPr>
        <w:pStyle w:val="Heading2"/>
        <w:spacing w:before="0" w:line="240" w:lineRule="auto"/>
        <w:jc w:val="both"/>
        <w:rPr>
          <w:rStyle w:val="Strong"/>
          <w:rFonts w:ascii="Times New Roman" w:hAnsi="Times New Roman" w:cs="Times New Roman"/>
          <w:b/>
          <w:bCs/>
          <w:color w:val="auto"/>
          <w:sz w:val="22"/>
          <w:szCs w:val="22"/>
        </w:rPr>
      </w:pPr>
    </w:p>
    <w:p w14:paraId="640A9D8C" w14:textId="00EA48A6" w:rsidR="006E1E73" w:rsidRPr="00C862C2" w:rsidRDefault="00B83CC3" w:rsidP="00C862C2">
      <w:pPr>
        <w:pStyle w:val="Heading2"/>
        <w:spacing w:before="0" w:line="240" w:lineRule="auto"/>
        <w:jc w:val="both"/>
        <w:rPr>
          <w:rStyle w:val="Strong"/>
          <w:rFonts w:ascii="Times New Roman" w:hAnsi="Times New Roman" w:cs="Times New Roman"/>
          <w:b/>
          <w:bCs/>
          <w:color w:val="auto"/>
          <w:sz w:val="22"/>
          <w:szCs w:val="22"/>
          <w:rtl/>
        </w:rPr>
      </w:pPr>
      <w:r w:rsidRPr="00C862C2">
        <w:rPr>
          <w:rStyle w:val="Strong"/>
          <w:rFonts w:ascii="Times New Roman" w:hAnsi="Times New Roman" w:cs="Times New Roman"/>
          <w:b/>
          <w:bCs/>
          <w:color w:val="auto"/>
          <w:sz w:val="22"/>
          <w:szCs w:val="22"/>
        </w:rPr>
        <w:t>3.2</w:t>
      </w:r>
      <w:r w:rsidR="00214CA4" w:rsidRPr="00C862C2">
        <w:rPr>
          <w:rStyle w:val="Strong"/>
          <w:rFonts w:ascii="Times New Roman" w:hAnsi="Times New Roman" w:cs="Times New Roman"/>
          <w:b/>
          <w:bCs/>
          <w:color w:val="auto"/>
          <w:sz w:val="22"/>
          <w:szCs w:val="22"/>
        </w:rPr>
        <w:t>.1</w:t>
      </w:r>
      <w:r w:rsidRPr="00C862C2">
        <w:rPr>
          <w:rStyle w:val="Strong"/>
          <w:rFonts w:ascii="Times New Roman" w:hAnsi="Times New Roman" w:cs="Times New Roman"/>
          <w:b/>
          <w:bCs/>
          <w:color w:val="auto"/>
          <w:sz w:val="22"/>
          <w:szCs w:val="22"/>
        </w:rPr>
        <w:t xml:space="preserve"> Dependent </w:t>
      </w:r>
      <w:proofErr w:type="spellStart"/>
      <w:r w:rsidR="004902A2" w:rsidRPr="00C862C2">
        <w:rPr>
          <w:rStyle w:val="Strong"/>
          <w:rFonts w:ascii="Times New Roman" w:hAnsi="Times New Roman" w:cs="Times New Roman"/>
          <w:b/>
          <w:bCs/>
          <w:color w:val="auto"/>
          <w:sz w:val="22"/>
          <w:szCs w:val="22"/>
        </w:rPr>
        <w:t>v</w:t>
      </w:r>
      <w:r w:rsidRPr="00C862C2">
        <w:rPr>
          <w:rStyle w:val="Strong"/>
          <w:rFonts w:ascii="Times New Roman" w:hAnsi="Times New Roman" w:cs="Times New Roman"/>
          <w:b/>
          <w:bCs/>
          <w:color w:val="auto"/>
          <w:sz w:val="22"/>
          <w:szCs w:val="22"/>
        </w:rPr>
        <w:t>ariables</w:t>
      </w:r>
      <w:r w:rsidR="00214CA4" w:rsidRPr="00C862C2">
        <w:rPr>
          <w:rStyle w:val="Strong"/>
          <w:rFonts w:ascii="Times New Roman" w:hAnsi="Times New Roman" w:cs="Times New Roman"/>
          <w:b/>
          <w:bCs/>
          <w:color w:val="auto"/>
          <w:sz w:val="22"/>
          <w:szCs w:val="22"/>
        </w:rPr>
        <w:t>a</w:t>
      </w:r>
      <w:proofErr w:type="spellEnd"/>
      <w:r w:rsidR="00214CA4" w:rsidRPr="00C862C2">
        <w:rPr>
          <w:rStyle w:val="Strong"/>
          <w:rFonts w:ascii="Times New Roman" w:hAnsi="Times New Roman" w:cs="Times New Roman"/>
          <w:b/>
          <w:bCs/>
          <w:color w:val="auto"/>
          <w:sz w:val="22"/>
          <w:szCs w:val="22"/>
        </w:rPr>
        <w:t>)</w:t>
      </w:r>
    </w:p>
    <w:p w14:paraId="564ADA59" w14:textId="77777777" w:rsidR="00C862C2" w:rsidRDefault="00C862C2" w:rsidP="00C862C2">
      <w:pPr>
        <w:pStyle w:val="Heading2"/>
        <w:spacing w:before="0" w:line="240" w:lineRule="auto"/>
        <w:jc w:val="both"/>
        <w:rPr>
          <w:rStyle w:val="Strong"/>
          <w:rFonts w:ascii="Times New Roman" w:hAnsi="Times New Roman" w:cs="Times New Roman"/>
          <w:b/>
          <w:bCs/>
          <w:color w:val="auto"/>
          <w:sz w:val="22"/>
          <w:szCs w:val="22"/>
        </w:rPr>
      </w:pPr>
    </w:p>
    <w:p w14:paraId="064AF7C7" w14:textId="3304B2C4" w:rsidR="00B83CC3" w:rsidRPr="00C862C2" w:rsidRDefault="00B83CC3" w:rsidP="00C862C2">
      <w:pPr>
        <w:pStyle w:val="Heading2"/>
        <w:spacing w:before="0" w:line="240" w:lineRule="auto"/>
        <w:jc w:val="both"/>
        <w:rPr>
          <w:rFonts w:ascii="Times New Roman" w:hAnsi="Times New Roman" w:cs="Times New Roman"/>
          <w:b w:val="0"/>
          <w:bCs w:val="0"/>
          <w:color w:val="auto"/>
          <w:sz w:val="22"/>
          <w:szCs w:val="22"/>
        </w:rPr>
      </w:pPr>
      <w:r w:rsidRPr="00C862C2">
        <w:rPr>
          <w:rStyle w:val="Strong"/>
          <w:rFonts w:ascii="Times New Roman" w:hAnsi="Times New Roman" w:cs="Times New Roman"/>
          <w:b/>
          <w:bCs/>
          <w:color w:val="auto"/>
          <w:sz w:val="22"/>
          <w:szCs w:val="22"/>
        </w:rPr>
        <w:t xml:space="preserve">Accounting </w:t>
      </w:r>
      <w:r w:rsidR="004902A2" w:rsidRPr="00C862C2">
        <w:rPr>
          <w:rStyle w:val="Strong"/>
          <w:rFonts w:ascii="Times New Roman" w:hAnsi="Times New Roman" w:cs="Times New Roman"/>
          <w:b/>
          <w:bCs/>
          <w:color w:val="auto"/>
          <w:sz w:val="22"/>
          <w:szCs w:val="22"/>
        </w:rPr>
        <w:t>c</w:t>
      </w:r>
      <w:r w:rsidRPr="00C862C2">
        <w:rPr>
          <w:rStyle w:val="Strong"/>
          <w:rFonts w:ascii="Times New Roman" w:hAnsi="Times New Roman" w:cs="Times New Roman"/>
          <w:b/>
          <w:bCs/>
          <w:color w:val="auto"/>
          <w:sz w:val="22"/>
          <w:szCs w:val="22"/>
        </w:rPr>
        <w:t>onservatism (CONS)</w:t>
      </w:r>
    </w:p>
    <w:p w14:paraId="051040B3" w14:textId="77777777" w:rsidR="002C0304" w:rsidRPr="00C862C2" w:rsidRDefault="00B83CC3" w:rsidP="00C862C2">
      <w:pPr>
        <w:pStyle w:val="NormalWeb"/>
        <w:spacing w:before="0" w:beforeAutospacing="0" w:after="0" w:afterAutospacing="0"/>
        <w:jc w:val="both"/>
        <w:rPr>
          <w:sz w:val="22"/>
          <w:szCs w:val="22"/>
        </w:rPr>
      </w:pPr>
      <w:r w:rsidRPr="00C862C2">
        <w:rPr>
          <w:sz w:val="22"/>
          <w:szCs w:val="22"/>
        </w:rPr>
        <w:t xml:space="preserve">Basu (1997) was the first to empirically operationalize accounting conservatism based on asymmetric timeliness in loss versus gain recognition. He argued that earnings reflect bad news more quickly than good news. Khan and Watts (2009) extended Basu’s model by developing a firm-year conditional conservatism measure (C-Score), estimated as a function of firm-specific characteristics. In the Basu (1997) model, the coefficient </w:t>
      </w:r>
      <w:r w:rsidRPr="00C862C2">
        <w:rPr>
          <w:rStyle w:val="Strong"/>
          <w:b w:val="0"/>
          <w:bCs w:val="0"/>
          <w:sz w:val="22"/>
          <w:szCs w:val="22"/>
        </w:rPr>
        <w:t>β₃</w:t>
      </w:r>
      <w:r w:rsidRPr="00C862C2">
        <w:rPr>
          <w:sz w:val="22"/>
          <w:szCs w:val="22"/>
        </w:rPr>
        <w:t xml:space="preserve"> represents the asymmetric timeliness of bad news recognition and is interpreted as a proxy for conditional conservatism.</w:t>
      </w:r>
    </w:p>
    <w:p w14:paraId="5B8EB75E" w14:textId="77777777" w:rsidR="002C0304" w:rsidRPr="00C862C2" w:rsidRDefault="002C0304" w:rsidP="00C862C2">
      <w:pPr>
        <w:pStyle w:val="NormalWeb"/>
        <w:spacing w:before="0" w:beforeAutospacing="0" w:after="0" w:afterAutospacing="0"/>
        <w:jc w:val="both"/>
        <w:rPr>
          <w:sz w:val="22"/>
          <w:szCs w:val="22"/>
          <w:rtl/>
          <w:lang w:bidi="fa-IR"/>
        </w:rPr>
      </w:pPr>
      <w:r w:rsidRPr="00C862C2">
        <w:rPr>
          <w:sz w:val="22"/>
          <w:szCs w:val="22"/>
        </w:rPr>
        <w:t>On the other hand, Khan and Watts (2009) extended Basu’s model to measure conditional accounting conservatism. They argued that accounting conservatism and the occurrence of bad news depend on firm-specific internal characteristics. In this model, good news is captured by the G-Score and bad news by the C-Score, each of which is a function of three explanatory variables: firm size, the market-to-book ratio of equity, and the leverage ratio.</w:t>
      </w:r>
    </w:p>
    <w:p w14:paraId="0D1D6EAA" w14:textId="77777777" w:rsidR="00F70A84" w:rsidRPr="00C862C2" w:rsidRDefault="00F70A84" w:rsidP="00C862C2">
      <w:pPr>
        <w:spacing w:after="0" w:line="240" w:lineRule="auto"/>
        <w:jc w:val="both"/>
        <w:rPr>
          <w:rFonts w:ascii="Times New Roman" w:eastAsia="Times New Roman" w:hAnsi="Times New Roman" w:cs="Times New Roman"/>
          <w:rtl/>
          <w:lang w:bidi="fa-IR"/>
        </w:rPr>
      </w:pPr>
      <w:r w:rsidRPr="00C862C2">
        <w:rPr>
          <w:rFonts w:ascii="Times New Roman" w:eastAsia="Times New Roman" w:hAnsi="Times New Roman" w:cs="Times New Roman"/>
        </w:rPr>
        <w:t>However, to measure accounting conservatism among the sample firms, the Khan and Watts (2009) model was first estimated using annual cross-sectional data for each firm and applying the two-step Fama–MacBeth regression method. The resulting parameters were then calculated based on the average coefficients across the various estimations. Subsequently, the computed values were substituted into Equation (5), and the accounting conservatism index was obtained. The higher the index for a firm, the greater its level of accounting conservatism.</w:t>
      </w:r>
    </w:p>
    <w:p w14:paraId="3D2B173F" w14:textId="77777777" w:rsidR="00B74C89" w:rsidRPr="00C862C2" w:rsidRDefault="00B74C89" w:rsidP="00C862C2">
      <w:pPr>
        <w:pStyle w:val="Heading3"/>
        <w:spacing w:before="0" w:beforeAutospacing="0" w:after="0" w:afterAutospacing="0"/>
        <w:jc w:val="both"/>
        <w:rPr>
          <w:b w:val="0"/>
          <w:bCs w:val="0"/>
          <w:sz w:val="22"/>
          <w:szCs w:val="22"/>
        </w:rPr>
      </w:pPr>
      <w:r w:rsidRPr="00C862C2">
        <w:rPr>
          <w:rStyle w:val="Strong"/>
          <w:sz w:val="22"/>
          <w:szCs w:val="22"/>
        </w:rPr>
        <w:t>In Model (3):</w:t>
      </w:r>
    </w:p>
    <w:p w14:paraId="39279B29" w14:textId="22232AF9" w:rsidR="00B74C89" w:rsidRPr="00C862C2" w:rsidRDefault="00000000" w:rsidP="00C862C2">
      <w:pPr>
        <w:pStyle w:val="NormalWeb"/>
        <w:spacing w:before="0" w:beforeAutospacing="0" w:after="0" w:afterAutospacing="0"/>
        <w:jc w:val="both"/>
        <w:rPr>
          <w:sz w:val="22"/>
          <w:szCs w:val="22"/>
        </w:rPr>
      </w:pPr>
      <m:oMathPara>
        <m:oMathParaPr>
          <m:jc m:val="left"/>
        </m:oMathParaPr>
        <m:oMath>
          <m:sSub>
            <m:sSubPr>
              <m:ctrlPr>
                <w:rPr>
                  <w:rFonts w:ascii="Cambria Math" w:hAnsi="Cambria Math"/>
                  <w:sz w:val="22"/>
                  <w:szCs w:val="22"/>
                </w:rPr>
              </m:ctrlPr>
            </m:sSubPr>
            <m:e>
              <m:r>
                <w:rPr>
                  <w:rFonts w:ascii="Cambria Math" w:hAnsi="Cambria Math"/>
                  <w:sz w:val="22"/>
                  <w:szCs w:val="22"/>
                </w:rPr>
                <m:t>EARN</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β</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β</m:t>
              </m:r>
            </m:e>
            <m:sub>
              <m:r>
                <m:rPr>
                  <m:sty m:val="p"/>
                </m:rP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NEG</m:t>
              </m:r>
              <m:r>
                <m:rPr>
                  <m:sty m:val="p"/>
                </m:rPr>
                <w:rPr>
                  <w:rFonts w:ascii="Cambria Math" w:hAnsi="Cambria Math"/>
                  <w:sz w:val="22"/>
                  <w:szCs w:val="22"/>
                </w:rPr>
                <m:t>_</m:t>
              </m:r>
              <m:r>
                <w:rPr>
                  <w:rFonts w:ascii="Cambria Math" w:hAnsi="Cambria Math"/>
                  <w:sz w:val="22"/>
                  <w:szCs w:val="22"/>
                </w:rPr>
                <m:t>DUM</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β</m:t>
              </m:r>
            </m:e>
            <m:sub>
              <m:r>
                <m:rPr>
                  <m:sty m:val="p"/>
                </m:rP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RET</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β</m:t>
              </m:r>
            </m:e>
            <m:sub>
              <m:r>
                <m:rPr>
                  <m:sty m:val="p"/>
                </m:rPr>
                <w:rPr>
                  <w:rFonts w:ascii="Cambria Math" w:hAnsi="Cambria Math"/>
                  <w:sz w:val="22"/>
                  <w:szCs w:val="22"/>
                </w:rPr>
                <m:t>3</m:t>
              </m:r>
            </m:sub>
          </m:sSub>
          <m:sSub>
            <m:sSubPr>
              <m:ctrlPr>
                <w:rPr>
                  <w:rFonts w:ascii="Cambria Math" w:hAnsi="Cambria Math"/>
                  <w:sz w:val="22"/>
                  <w:szCs w:val="22"/>
                </w:rPr>
              </m:ctrlPr>
            </m:sSubPr>
            <m:e>
              <m:r>
                <w:rPr>
                  <w:rFonts w:ascii="Cambria Math" w:hAnsi="Cambria Math"/>
                  <w:sz w:val="22"/>
                  <w:szCs w:val="22"/>
                </w:rPr>
                <m:t>NEGDUM</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RET</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it</m:t>
              </m:r>
            </m:sub>
          </m:sSub>
        </m:oMath>
      </m:oMathPara>
    </w:p>
    <w:p w14:paraId="3F78547A" w14:textId="77777777" w:rsidR="00B74C89" w:rsidRPr="00C862C2" w:rsidRDefault="00B74C89" w:rsidP="00C862C2">
      <w:pPr>
        <w:pStyle w:val="NormalWeb"/>
        <w:spacing w:before="0" w:beforeAutospacing="0" w:after="0" w:afterAutospacing="0"/>
        <w:jc w:val="both"/>
        <w:rPr>
          <w:sz w:val="22"/>
          <w:szCs w:val="22"/>
        </w:rPr>
      </w:pPr>
      <w:r w:rsidRPr="00C862C2">
        <w:rPr>
          <w:sz w:val="22"/>
          <w:szCs w:val="22"/>
        </w:rPr>
        <w:t>Where:</w:t>
      </w:r>
    </w:p>
    <w:p w14:paraId="064DAB55" w14:textId="1EABE0FD" w:rsidR="00B74C89" w:rsidRPr="00C862C2" w:rsidRDefault="00000000" w:rsidP="00C862C2">
      <w:pPr>
        <w:pStyle w:val="NormalWeb"/>
        <w:numPr>
          <w:ilvl w:val="0"/>
          <w:numId w:val="2"/>
        </w:numPr>
        <w:spacing w:before="0" w:beforeAutospacing="0" w:after="0" w:afterAutospacing="0"/>
        <w:jc w:val="both"/>
        <w:rPr>
          <w:sz w:val="22"/>
          <w:szCs w:val="22"/>
        </w:rPr>
      </w:pPr>
      <m:oMath>
        <m:sSub>
          <m:sSubPr>
            <m:ctrlPr>
              <w:rPr>
                <w:rFonts w:ascii="Cambria Math" w:hAnsi="Cambria Math"/>
                <w:sz w:val="22"/>
                <w:szCs w:val="22"/>
              </w:rPr>
            </m:ctrlPr>
          </m:sSubPr>
          <m:e>
            <m:r>
              <w:rPr>
                <w:rFonts w:ascii="Cambria Math" w:hAnsi="Cambria Math"/>
                <w:sz w:val="22"/>
                <w:szCs w:val="22"/>
              </w:rPr>
              <m:t>EARN</m:t>
            </m:r>
          </m:e>
          <m:sub>
            <m:r>
              <w:rPr>
                <w:rFonts w:ascii="Cambria Math" w:hAnsi="Cambria Math"/>
                <w:sz w:val="22"/>
                <w:szCs w:val="22"/>
              </w:rPr>
              <m:t>it</m:t>
            </m:r>
          </m:sub>
        </m:sSub>
      </m:oMath>
      <w:r w:rsidR="00B74C89" w:rsidRPr="00C862C2">
        <w:rPr>
          <w:sz w:val="22"/>
          <w:szCs w:val="22"/>
        </w:rPr>
        <w:t xml:space="preserve">: Current earnings of firm </w:t>
      </w:r>
      <w:proofErr w:type="spellStart"/>
      <w:r w:rsidR="00B74C89" w:rsidRPr="00C862C2">
        <w:rPr>
          <w:rStyle w:val="Emphasis"/>
          <w:i w:val="0"/>
          <w:iCs w:val="0"/>
          <w:sz w:val="22"/>
          <w:szCs w:val="22"/>
        </w:rPr>
        <w:t>i</w:t>
      </w:r>
      <w:proofErr w:type="spellEnd"/>
      <w:r w:rsidR="00B74C89" w:rsidRPr="00C862C2">
        <w:rPr>
          <w:sz w:val="22"/>
          <w:szCs w:val="22"/>
        </w:rPr>
        <w:t xml:space="preserve"> in year </w:t>
      </w:r>
      <w:r w:rsidR="00B74C89" w:rsidRPr="00C862C2">
        <w:rPr>
          <w:rStyle w:val="Emphasis"/>
          <w:i w:val="0"/>
          <w:iCs w:val="0"/>
          <w:sz w:val="22"/>
          <w:szCs w:val="22"/>
        </w:rPr>
        <w:t>t</w:t>
      </w:r>
      <w:r w:rsidR="00B74C89" w:rsidRPr="00C862C2">
        <w:rPr>
          <w:sz w:val="22"/>
          <w:szCs w:val="22"/>
        </w:rPr>
        <w:t>, scaled by the beginning-of-period market value of equity.</w:t>
      </w:r>
    </w:p>
    <w:p w14:paraId="6CB29BA4" w14:textId="40FA4C3A" w:rsidR="00B74C89" w:rsidRPr="00C862C2" w:rsidRDefault="00000000" w:rsidP="00C862C2">
      <w:pPr>
        <w:pStyle w:val="NormalWeb"/>
        <w:numPr>
          <w:ilvl w:val="0"/>
          <w:numId w:val="2"/>
        </w:numPr>
        <w:spacing w:before="0" w:beforeAutospacing="0" w:after="0" w:afterAutospacing="0"/>
        <w:jc w:val="both"/>
        <w:rPr>
          <w:sz w:val="22"/>
          <w:szCs w:val="22"/>
        </w:rPr>
      </w:pPr>
      <m:oMath>
        <m:sSub>
          <m:sSubPr>
            <m:ctrlPr>
              <w:rPr>
                <w:rFonts w:ascii="Cambria Math" w:hAnsi="Cambria Math"/>
                <w:sz w:val="22"/>
                <w:szCs w:val="22"/>
              </w:rPr>
            </m:ctrlPr>
          </m:sSubPr>
          <m:e>
            <m:r>
              <w:rPr>
                <w:rFonts w:ascii="Cambria Math" w:hAnsi="Cambria Math"/>
                <w:sz w:val="22"/>
                <w:szCs w:val="22"/>
              </w:rPr>
              <m:t>NEG</m:t>
            </m:r>
            <m:r>
              <m:rPr>
                <m:sty m:val="p"/>
              </m:rPr>
              <w:rPr>
                <w:rFonts w:ascii="Cambria Math" w:hAnsi="Cambria Math"/>
                <w:sz w:val="22"/>
                <w:szCs w:val="22"/>
              </w:rPr>
              <m:t>_</m:t>
            </m:r>
            <m:r>
              <w:rPr>
                <w:rFonts w:ascii="Cambria Math" w:hAnsi="Cambria Math"/>
                <w:sz w:val="22"/>
                <w:szCs w:val="22"/>
              </w:rPr>
              <m:t>DUM</m:t>
            </m:r>
          </m:e>
          <m:sub>
            <m:r>
              <w:rPr>
                <w:rFonts w:ascii="Cambria Math" w:hAnsi="Cambria Math"/>
                <w:sz w:val="22"/>
                <w:szCs w:val="22"/>
              </w:rPr>
              <m:t>it</m:t>
            </m:r>
          </m:sub>
        </m:sSub>
      </m:oMath>
      <w:r w:rsidR="00B74C89" w:rsidRPr="00C862C2">
        <w:rPr>
          <w:sz w:val="22"/>
          <w:szCs w:val="22"/>
        </w:rPr>
        <w:t xml:space="preserve">: Dummy variable equal to 1 if the annual stock return is </w:t>
      </w:r>
      <w:r w:rsidR="00C40EE8" w:rsidRPr="00C862C2">
        <w:rPr>
          <w:sz w:val="22"/>
          <w:szCs w:val="22"/>
        </w:rPr>
        <w:t>negative</w:t>
      </w:r>
      <w:r w:rsidR="00B74C89" w:rsidRPr="00C862C2">
        <w:rPr>
          <w:sz w:val="22"/>
          <w:szCs w:val="22"/>
        </w:rPr>
        <w:t xml:space="preserve"> and 0 otherwise.</w:t>
      </w:r>
    </w:p>
    <w:p w14:paraId="1B09D286" w14:textId="15BFBCAD" w:rsidR="00B74C89" w:rsidRPr="00C862C2" w:rsidRDefault="00000000" w:rsidP="00C862C2">
      <w:pPr>
        <w:pStyle w:val="NormalWeb"/>
        <w:numPr>
          <w:ilvl w:val="0"/>
          <w:numId w:val="2"/>
        </w:numPr>
        <w:spacing w:before="0" w:beforeAutospacing="0" w:after="0" w:afterAutospacing="0"/>
        <w:jc w:val="both"/>
        <w:rPr>
          <w:sz w:val="22"/>
          <w:szCs w:val="22"/>
        </w:rPr>
      </w:pPr>
      <m:oMath>
        <m:sSub>
          <m:sSubPr>
            <m:ctrlPr>
              <w:rPr>
                <w:rFonts w:ascii="Cambria Math" w:hAnsi="Cambria Math"/>
                <w:sz w:val="22"/>
                <w:szCs w:val="22"/>
              </w:rPr>
            </m:ctrlPr>
          </m:sSubPr>
          <m:e>
            <m:r>
              <w:rPr>
                <w:rFonts w:ascii="Cambria Math" w:hAnsi="Cambria Math"/>
                <w:sz w:val="22"/>
                <w:szCs w:val="22"/>
              </w:rPr>
              <m:t>RET</m:t>
            </m:r>
          </m:e>
          <m:sub>
            <m:r>
              <w:rPr>
                <w:rFonts w:ascii="Cambria Math" w:hAnsi="Cambria Math"/>
                <w:sz w:val="22"/>
                <w:szCs w:val="22"/>
              </w:rPr>
              <m:t>it</m:t>
            </m:r>
          </m:sub>
        </m:sSub>
      </m:oMath>
      <w:r w:rsidR="00B74C89" w:rsidRPr="00C862C2">
        <w:rPr>
          <w:sz w:val="22"/>
          <w:szCs w:val="22"/>
        </w:rPr>
        <w:t xml:space="preserve">: Average monthly stock </w:t>
      </w:r>
      <w:r w:rsidR="00C40EE8" w:rsidRPr="00C862C2">
        <w:rPr>
          <w:sz w:val="22"/>
          <w:szCs w:val="22"/>
        </w:rPr>
        <w:t>returns</w:t>
      </w:r>
      <w:r w:rsidR="00B74C89" w:rsidRPr="00C862C2">
        <w:rPr>
          <w:sz w:val="22"/>
          <w:szCs w:val="22"/>
        </w:rPr>
        <w:t xml:space="preserve"> of firm </w:t>
      </w:r>
      <w:proofErr w:type="spellStart"/>
      <w:r w:rsidR="00B74C89" w:rsidRPr="00C862C2">
        <w:rPr>
          <w:rStyle w:val="Emphasis"/>
          <w:i w:val="0"/>
          <w:iCs w:val="0"/>
          <w:sz w:val="22"/>
          <w:szCs w:val="22"/>
        </w:rPr>
        <w:t>i</w:t>
      </w:r>
      <w:proofErr w:type="spellEnd"/>
      <w:r w:rsidR="00B74C89" w:rsidRPr="00C862C2">
        <w:rPr>
          <w:sz w:val="22"/>
          <w:szCs w:val="22"/>
        </w:rPr>
        <w:t xml:space="preserve"> at the end of year </w:t>
      </w:r>
      <w:r w:rsidR="00B74C89" w:rsidRPr="00C862C2">
        <w:rPr>
          <w:rStyle w:val="Emphasis"/>
          <w:i w:val="0"/>
          <w:iCs w:val="0"/>
          <w:sz w:val="22"/>
          <w:szCs w:val="22"/>
        </w:rPr>
        <w:t>t</w:t>
      </w:r>
      <w:r w:rsidR="00B74C89" w:rsidRPr="00C862C2">
        <w:rPr>
          <w:sz w:val="22"/>
          <w:szCs w:val="22"/>
        </w:rPr>
        <w:t>.</w:t>
      </w:r>
    </w:p>
    <w:p w14:paraId="62DE208A" w14:textId="1DC16E24" w:rsidR="00B74C89" w:rsidRPr="00C862C2" w:rsidRDefault="00000000" w:rsidP="00C862C2">
      <w:pPr>
        <w:pStyle w:val="NormalWeb"/>
        <w:numPr>
          <w:ilvl w:val="0"/>
          <w:numId w:val="2"/>
        </w:numPr>
        <w:spacing w:before="0" w:beforeAutospacing="0" w:after="0" w:afterAutospacing="0"/>
        <w:jc w:val="both"/>
        <w:rPr>
          <w:sz w:val="22"/>
          <w:szCs w:val="22"/>
        </w:rPr>
      </w:pPr>
      <m:oMath>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it</m:t>
            </m:r>
          </m:sub>
        </m:sSub>
      </m:oMath>
      <w:r w:rsidR="00B74C89" w:rsidRPr="00C862C2">
        <w:rPr>
          <w:sz w:val="22"/>
          <w:szCs w:val="22"/>
        </w:rPr>
        <w:t>: Regression error term.</w:t>
      </w:r>
    </w:p>
    <w:p w14:paraId="7E93415E" w14:textId="77777777" w:rsidR="00B74C89" w:rsidRPr="00C862C2" w:rsidRDefault="00B74C89" w:rsidP="00C862C2">
      <w:pPr>
        <w:pStyle w:val="NormalWeb"/>
        <w:spacing w:before="0" w:beforeAutospacing="0" w:after="0" w:afterAutospacing="0"/>
        <w:jc w:val="both"/>
        <w:rPr>
          <w:sz w:val="22"/>
          <w:szCs w:val="22"/>
        </w:rPr>
      </w:pPr>
      <w:r w:rsidRPr="00C862C2">
        <w:rPr>
          <w:sz w:val="22"/>
          <w:szCs w:val="22"/>
        </w:rPr>
        <w:t>Since the Basu (1997) model captures the asymmetric sensitivity of earnings to good and bad news, additional regression models are estimated to compute firm-specific sensitivity coefficients following Models (4) and (5):</w:t>
      </w:r>
    </w:p>
    <w:p w14:paraId="723FC149" w14:textId="77777777" w:rsidR="00F233D0" w:rsidRPr="00C862C2" w:rsidRDefault="00F233D0" w:rsidP="00C862C2">
      <w:pPr>
        <w:pStyle w:val="NormalWeb"/>
        <w:spacing w:before="0" w:beforeAutospacing="0" w:after="0" w:afterAutospacing="0"/>
        <w:jc w:val="both"/>
        <w:rPr>
          <w:sz w:val="22"/>
          <w:szCs w:val="22"/>
        </w:rPr>
      </w:pPr>
      <w:r w:rsidRPr="00C862C2">
        <w:rPr>
          <w:sz w:val="22"/>
          <w:szCs w:val="22"/>
        </w:rPr>
        <w:t>(4)</w:t>
      </w:r>
    </w:p>
    <w:p w14:paraId="12E6FD64" w14:textId="1B46C45A" w:rsidR="00B74C89" w:rsidRPr="00C862C2" w:rsidRDefault="00000000" w:rsidP="00C862C2">
      <w:pPr>
        <w:spacing w:after="0" w:line="240" w:lineRule="auto"/>
        <w:jc w:val="both"/>
        <w:rPr>
          <w:rFonts w:ascii="Times New Roman" w:eastAsiaTheme="minorEastAsia" w:hAnsi="Times New Roman" w:cs="Times New Roman"/>
        </w:rPr>
      </w:pPr>
      <m:oMathPara>
        <m:oMathParaPr>
          <m:jc m:val="left"/>
        </m:oMathParaPr>
        <m:oMath>
          <m:sSub>
            <m:sSubPr>
              <m:ctrlPr>
                <w:rPr>
                  <w:rFonts w:ascii="Cambria Math" w:eastAsia="Times New Roman" w:hAnsi="Cambria Math" w:cs="Times New Roman"/>
                </w:rPr>
              </m:ctrlPr>
            </m:sSubPr>
            <m:e>
              <m:r>
                <w:rPr>
                  <w:rFonts w:ascii="Cambria Math" w:eastAsia="Times New Roman" w:hAnsi="Cambria Math" w:cs="Times New Roman"/>
                </w:rPr>
                <m:t>a</m:t>
              </m:r>
            </m:e>
            <m:sub>
              <m:r>
                <m:rPr>
                  <m:sty m:val="p"/>
                </m:rPr>
                <w:rPr>
                  <w:rFonts w:ascii="Cambria Math" w:eastAsia="Times New Roman" w:hAnsi="Cambria Math" w:cs="Times New Roman"/>
                </w:rPr>
                <m:t>3</m:t>
              </m:r>
              <m:r>
                <w:rPr>
                  <w:rFonts w:ascii="Cambria Math" w:eastAsia="Times New Roman" w:hAnsi="Cambria Math" w:cs="Times New Roman"/>
                </w:rPr>
                <m:t>it</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δ</m:t>
              </m:r>
            </m:e>
            <m:sub>
              <m:r>
                <m:rPr>
                  <m:sty m:val="p"/>
                </m:rPr>
                <w:rPr>
                  <w:rFonts w:ascii="Cambria Math" w:eastAsia="Times New Roman" w:hAnsi="Cambria Math" w:cs="Times New Roman"/>
                </w:rPr>
                <m:t>0</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δ</m:t>
              </m:r>
            </m:e>
            <m:sub>
              <m:r>
                <m:rPr>
                  <m:sty m:val="p"/>
                </m:rPr>
                <w:rPr>
                  <w:rFonts w:ascii="Cambria Math" w:eastAsia="Times New Roman" w:hAnsi="Cambria Math" w:cs="Times New Roman"/>
                </w:rPr>
                <m:t>1</m:t>
              </m:r>
            </m:sub>
          </m:sSub>
          <m:sSub>
            <m:sSubPr>
              <m:ctrlPr>
                <w:rPr>
                  <w:rFonts w:ascii="Cambria Math" w:eastAsia="Times New Roman" w:hAnsi="Cambria Math" w:cs="Times New Roman"/>
                </w:rPr>
              </m:ctrlPr>
            </m:sSubPr>
            <m:e>
              <m:r>
                <w:rPr>
                  <w:rFonts w:ascii="Cambria Math" w:eastAsia="Times New Roman" w:hAnsi="Cambria Math" w:cs="Times New Roman"/>
                </w:rPr>
                <m:t>SIZE</m:t>
              </m:r>
            </m:e>
            <m:sub>
              <m:r>
                <w:rPr>
                  <w:rFonts w:ascii="Cambria Math" w:eastAsia="Times New Roman" w:hAnsi="Cambria Math" w:cs="Times New Roman"/>
                </w:rPr>
                <m:t>it</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δ</m:t>
              </m:r>
            </m:e>
            <m:sub>
              <m:r>
                <m:rPr>
                  <m:sty m:val="p"/>
                </m:rPr>
                <w:rPr>
                  <w:rFonts w:ascii="Cambria Math" w:eastAsia="Times New Roman" w:hAnsi="Cambria Math" w:cs="Times New Roman"/>
                </w:rPr>
                <m:t>2</m:t>
              </m:r>
            </m:sub>
          </m:sSub>
          <m:sSub>
            <m:sSubPr>
              <m:ctrlPr>
                <w:rPr>
                  <w:rFonts w:ascii="Cambria Math" w:eastAsia="Times New Roman" w:hAnsi="Cambria Math" w:cs="Times New Roman"/>
                </w:rPr>
              </m:ctrlPr>
            </m:sSubPr>
            <m:e>
              <m:r>
                <w:rPr>
                  <w:rFonts w:ascii="Cambria Math" w:eastAsia="Times New Roman" w:hAnsi="Cambria Math" w:cs="Times New Roman"/>
                </w:rPr>
                <m:t>MB</m:t>
              </m:r>
            </m:e>
            <m:sub>
              <m:r>
                <w:rPr>
                  <w:rFonts w:ascii="Cambria Math" w:eastAsia="Times New Roman" w:hAnsi="Cambria Math" w:cs="Times New Roman"/>
                </w:rPr>
                <m:t>it</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δ</m:t>
              </m:r>
            </m:e>
            <m:sub>
              <m:r>
                <m:rPr>
                  <m:sty m:val="p"/>
                </m:rPr>
                <w:rPr>
                  <w:rFonts w:ascii="Cambria Math" w:eastAsia="Times New Roman" w:hAnsi="Cambria Math" w:cs="Times New Roman"/>
                </w:rPr>
                <m:t>3</m:t>
              </m:r>
            </m:sub>
          </m:sSub>
          <m:sSub>
            <m:sSubPr>
              <m:ctrlPr>
                <w:rPr>
                  <w:rFonts w:ascii="Cambria Math" w:eastAsia="Times New Roman" w:hAnsi="Cambria Math" w:cs="Times New Roman"/>
                </w:rPr>
              </m:ctrlPr>
            </m:sSubPr>
            <m:e>
              <m:r>
                <w:rPr>
                  <w:rFonts w:ascii="Cambria Math" w:eastAsia="Times New Roman" w:hAnsi="Cambria Math" w:cs="Times New Roman"/>
                </w:rPr>
                <m:t>LEV</m:t>
              </m:r>
            </m:e>
            <m:sub>
              <m:r>
                <w:rPr>
                  <w:rFonts w:ascii="Cambria Math" w:eastAsia="Times New Roman" w:hAnsi="Cambria Math" w:cs="Times New Roman"/>
                </w:rPr>
                <m:t>it</m:t>
              </m:r>
            </m:sub>
          </m:sSub>
        </m:oMath>
      </m:oMathPara>
    </w:p>
    <w:p w14:paraId="4293A026" w14:textId="77777777" w:rsidR="00F233D0" w:rsidRPr="00C862C2" w:rsidRDefault="00F233D0" w:rsidP="00C862C2">
      <w:pPr>
        <w:spacing w:after="0" w:line="240" w:lineRule="auto"/>
        <w:jc w:val="both"/>
        <w:rPr>
          <w:rFonts w:ascii="Times New Roman" w:eastAsiaTheme="minorEastAsia" w:hAnsi="Times New Roman" w:cs="Times New Roman"/>
        </w:rPr>
      </w:pPr>
    </w:p>
    <w:p w14:paraId="34739BD6" w14:textId="77777777" w:rsidR="00F233D0" w:rsidRPr="00C862C2" w:rsidRDefault="00F233D0" w:rsidP="00C862C2">
      <w:pPr>
        <w:spacing w:after="0" w:line="240" w:lineRule="auto"/>
        <w:jc w:val="both"/>
        <w:rPr>
          <w:rFonts w:ascii="Times New Roman" w:eastAsiaTheme="minorEastAsia" w:hAnsi="Times New Roman" w:cs="Times New Roman"/>
        </w:rPr>
      </w:pPr>
      <w:r w:rsidRPr="00C862C2">
        <w:rPr>
          <w:rFonts w:ascii="Times New Roman" w:eastAsiaTheme="minorEastAsia" w:hAnsi="Times New Roman" w:cs="Times New Roman"/>
        </w:rPr>
        <w:t>(5)</w:t>
      </w:r>
    </w:p>
    <w:p w14:paraId="522E25E6" w14:textId="0D3DEA0A" w:rsidR="00F233D0" w:rsidRPr="00C862C2" w:rsidRDefault="00000000" w:rsidP="00C862C2">
      <w:pPr>
        <w:spacing w:after="0" w:line="240" w:lineRule="auto"/>
        <w:jc w:val="both"/>
        <w:rPr>
          <w:rFonts w:ascii="Times New Roman" w:hAnsi="Times New Roman" w:cs="Times New Roman"/>
        </w:rPr>
      </w:pPr>
      <m:oMathPara>
        <m:oMathParaPr>
          <m:jc m:val="left"/>
        </m:oMathParaPr>
        <m:oMath>
          <m:sSub>
            <m:sSubPr>
              <m:ctrlPr>
                <w:rPr>
                  <w:rFonts w:ascii="Cambria Math" w:eastAsia="Times New Roman" w:hAnsi="Cambria Math" w:cs="Times New Roman"/>
                </w:rPr>
              </m:ctrlPr>
            </m:sSubPr>
            <m:e>
              <m:r>
                <w:rPr>
                  <w:rFonts w:ascii="Cambria Math" w:eastAsia="Times New Roman" w:hAnsi="Cambria Math" w:cs="Times New Roman"/>
                </w:rPr>
                <m:t>a</m:t>
              </m:r>
            </m:e>
            <m:sub>
              <m:r>
                <m:rPr>
                  <m:sty m:val="p"/>
                </m:rPr>
                <w:rPr>
                  <w:rFonts w:ascii="Cambria Math" w:eastAsia="Times New Roman" w:hAnsi="Cambria Math" w:cs="Times New Roman"/>
                </w:rPr>
                <m:t>4</m:t>
              </m:r>
              <m:r>
                <w:rPr>
                  <w:rFonts w:ascii="Cambria Math" w:eastAsia="Times New Roman" w:hAnsi="Cambria Math" w:cs="Times New Roman"/>
                </w:rPr>
                <m:t>it</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γ</m:t>
              </m:r>
            </m:e>
            <m:sub>
              <m:r>
                <m:rPr>
                  <m:sty m:val="p"/>
                </m:rPr>
                <w:rPr>
                  <w:rFonts w:ascii="Cambria Math" w:eastAsia="Times New Roman" w:hAnsi="Cambria Math" w:cs="Times New Roman"/>
                </w:rPr>
                <m:t>0</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γ</m:t>
              </m:r>
            </m:e>
            <m:sub>
              <m:r>
                <m:rPr>
                  <m:sty m:val="p"/>
                </m:rPr>
                <w:rPr>
                  <w:rFonts w:ascii="Cambria Math" w:eastAsia="Times New Roman" w:hAnsi="Cambria Math" w:cs="Times New Roman"/>
                </w:rPr>
                <m:t>1</m:t>
              </m:r>
            </m:sub>
          </m:sSub>
          <m:sSub>
            <m:sSubPr>
              <m:ctrlPr>
                <w:rPr>
                  <w:rFonts w:ascii="Cambria Math" w:eastAsia="Times New Roman" w:hAnsi="Cambria Math" w:cs="Times New Roman"/>
                </w:rPr>
              </m:ctrlPr>
            </m:sSubPr>
            <m:e>
              <m:r>
                <w:rPr>
                  <w:rFonts w:ascii="Cambria Math" w:eastAsia="Times New Roman" w:hAnsi="Cambria Math" w:cs="Times New Roman"/>
                </w:rPr>
                <m:t>SIZE</m:t>
              </m:r>
            </m:e>
            <m:sub>
              <m:r>
                <w:rPr>
                  <w:rFonts w:ascii="Cambria Math" w:eastAsia="Times New Roman" w:hAnsi="Cambria Math" w:cs="Times New Roman"/>
                </w:rPr>
                <m:t>it</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γ</m:t>
              </m:r>
            </m:e>
            <m:sub>
              <m:r>
                <m:rPr>
                  <m:sty m:val="p"/>
                </m:rPr>
                <w:rPr>
                  <w:rFonts w:ascii="Cambria Math" w:eastAsia="Times New Roman" w:hAnsi="Cambria Math" w:cs="Times New Roman"/>
                </w:rPr>
                <m:t>2</m:t>
              </m:r>
            </m:sub>
          </m:sSub>
          <m:sSub>
            <m:sSubPr>
              <m:ctrlPr>
                <w:rPr>
                  <w:rFonts w:ascii="Cambria Math" w:eastAsia="Times New Roman" w:hAnsi="Cambria Math" w:cs="Times New Roman"/>
                </w:rPr>
              </m:ctrlPr>
            </m:sSubPr>
            <m:e>
              <m:r>
                <w:rPr>
                  <w:rFonts w:ascii="Cambria Math" w:eastAsia="Times New Roman" w:hAnsi="Cambria Math" w:cs="Times New Roman"/>
                </w:rPr>
                <m:t>MB</m:t>
              </m:r>
            </m:e>
            <m:sub>
              <m:r>
                <w:rPr>
                  <w:rFonts w:ascii="Cambria Math" w:eastAsia="Times New Roman" w:hAnsi="Cambria Math" w:cs="Times New Roman"/>
                </w:rPr>
                <m:t>it</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γ</m:t>
              </m:r>
            </m:e>
            <m:sub>
              <m:r>
                <m:rPr>
                  <m:sty m:val="p"/>
                </m:rPr>
                <w:rPr>
                  <w:rFonts w:ascii="Cambria Math" w:eastAsia="Times New Roman" w:hAnsi="Cambria Math" w:cs="Times New Roman"/>
                </w:rPr>
                <m:t>3</m:t>
              </m:r>
            </m:sub>
          </m:sSub>
          <m:sSub>
            <m:sSubPr>
              <m:ctrlPr>
                <w:rPr>
                  <w:rFonts w:ascii="Cambria Math" w:eastAsia="Times New Roman" w:hAnsi="Cambria Math" w:cs="Times New Roman"/>
                </w:rPr>
              </m:ctrlPr>
            </m:sSubPr>
            <m:e>
              <m:r>
                <w:rPr>
                  <w:rFonts w:ascii="Cambria Math" w:eastAsia="Times New Roman" w:hAnsi="Cambria Math" w:cs="Times New Roman"/>
                </w:rPr>
                <m:t>LEV</m:t>
              </m:r>
            </m:e>
            <m:sub>
              <m:r>
                <w:rPr>
                  <w:rFonts w:ascii="Cambria Math" w:eastAsia="Times New Roman" w:hAnsi="Cambria Math" w:cs="Times New Roman"/>
                </w:rPr>
                <m:t>it</m:t>
              </m:r>
            </m:sub>
          </m:sSub>
        </m:oMath>
      </m:oMathPara>
    </w:p>
    <w:p w14:paraId="4F70DB7E" w14:textId="77777777" w:rsidR="00B74C89" w:rsidRPr="00C862C2" w:rsidRDefault="00B74C89" w:rsidP="00C862C2">
      <w:pPr>
        <w:pStyle w:val="NormalWeb"/>
        <w:spacing w:before="0" w:beforeAutospacing="0" w:after="0" w:afterAutospacing="0"/>
        <w:jc w:val="both"/>
        <w:rPr>
          <w:sz w:val="22"/>
          <w:szCs w:val="22"/>
        </w:rPr>
      </w:pPr>
      <w:r w:rsidRPr="00C862C2">
        <w:rPr>
          <w:sz w:val="22"/>
          <w:szCs w:val="22"/>
        </w:rPr>
        <w:t>By substituting Models (4) and (5) into the Basu regression in Model (3), the final expanded firm-year conditional conservatism model (6) is obtained:</w:t>
      </w:r>
    </w:p>
    <w:p w14:paraId="37A1630A" w14:textId="77777777" w:rsidR="00F233D0" w:rsidRPr="00C862C2" w:rsidRDefault="00F233D0" w:rsidP="00C862C2">
      <w:pPr>
        <w:pStyle w:val="NormalWeb"/>
        <w:spacing w:before="0" w:beforeAutospacing="0" w:after="0" w:afterAutospacing="0"/>
        <w:jc w:val="both"/>
        <w:rPr>
          <w:sz w:val="22"/>
          <w:szCs w:val="22"/>
        </w:rPr>
      </w:pPr>
      <w:r w:rsidRPr="00C862C2">
        <w:rPr>
          <w:sz w:val="22"/>
          <w:szCs w:val="22"/>
        </w:rPr>
        <w:t>(6)</w:t>
      </w:r>
    </w:p>
    <w:p w14:paraId="4561508C" w14:textId="70415B3F" w:rsidR="00F233D0" w:rsidRPr="00C862C2" w:rsidRDefault="00000000" w:rsidP="00C862C2">
      <w:pPr>
        <w:pStyle w:val="NormalWeb"/>
        <w:spacing w:before="0" w:beforeAutospacing="0" w:after="0" w:afterAutospacing="0"/>
        <w:jc w:val="both"/>
        <w:rPr>
          <w:sz w:val="22"/>
          <w:szCs w:val="22"/>
        </w:rPr>
      </w:pPr>
      <m:oMathPara>
        <m:oMath>
          <m:sSub>
            <m:sSubPr>
              <m:ctrlPr>
                <w:rPr>
                  <w:rFonts w:ascii="Cambria Math" w:hAnsi="Cambria Math"/>
                  <w:sz w:val="22"/>
                  <w:szCs w:val="22"/>
                </w:rPr>
              </m:ctrlPr>
            </m:sSubPr>
            <m:e>
              <m:r>
                <w:rPr>
                  <w:rFonts w:ascii="Cambria Math" w:hAnsi="Cambria Math"/>
                  <w:sz w:val="22"/>
                  <w:szCs w:val="22"/>
                </w:rPr>
                <m:t>EARN</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NEG</m:t>
              </m:r>
              <m:r>
                <m:rPr>
                  <m:sty m:val="p"/>
                </m:rPr>
                <w:rPr>
                  <w:rFonts w:ascii="Cambria Math" w:hAnsi="Cambria Math"/>
                  <w:sz w:val="22"/>
                  <w:szCs w:val="22"/>
                </w:rPr>
                <m:t>_</m:t>
              </m:r>
              <m:r>
                <w:rPr>
                  <w:rFonts w:ascii="Cambria Math" w:hAnsi="Cambria Math"/>
                  <w:sz w:val="22"/>
                  <w:szCs w:val="22"/>
                </w:rPr>
                <m:t>DUM</m:t>
              </m:r>
            </m:e>
            <m:sub>
              <m:r>
                <w:rPr>
                  <w:rFonts w:ascii="Cambria Math" w:hAnsi="Cambria Math"/>
                  <w:sz w:val="22"/>
                  <w:szCs w:val="22"/>
                </w:rPr>
                <m:t>it</m:t>
              </m:r>
            </m:sub>
          </m:sSub>
          <m:r>
            <m:rPr>
              <m:sty m:val="p"/>
            </m:rPr>
            <w:rPr>
              <w:rFonts w:ascii="Cambria Math" w:hAnsi="Cambria Math"/>
              <w:sz w:val="22"/>
              <w:szCs w:val="22"/>
            </w:rPr>
            <m:t>+</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δ</m:t>
                  </m:r>
                </m:e>
                <m:sub>
                  <m:r>
                    <m:rPr>
                      <m:sty m:val="p"/>
                    </m:rPr>
                    <w:rPr>
                      <w:rFonts w:ascii="Cambria Math" w:hAnsi="Cambria Math"/>
                      <w:sz w:val="22"/>
                      <w:szCs w:val="22"/>
                    </w:rPr>
                    <m:t>1</m:t>
                  </m:r>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δ</m:t>
                  </m:r>
                </m:e>
                <m:sub>
                  <m:r>
                    <m:rPr>
                      <m:sty m:val="p"/>
                    </m:rPr>
                    <w:rPr>
                      <w:rFonts w:ascii="Cambria Math" w:hAnsi="Cambria Math"/>
                      <w:sz w:val="22"/>
                      <w:szCs w:val="22"/>
                    </w:rPr>
                    <m:t>2</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SIZE</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δ</m:t>
                  </m:r>
                </m:e>
                <m:sub>
                  <m:r>
                    <m:rPr>
                      <m:sty m:val="p"/>
                    </m:rPr>
                    <w:rPr>
                      <w:rFonts w:ascii="Cambria Math" w:hAnsi="Cambria Math"/>
                      <w:sz w:val="22"/>
                      <w:szCs w:val="22"/>
                    </w:rPr>
                    <m:t>3</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MB</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δ</m:t>
                  </m:r>
                </m:e>
                <m:sub>
                  <m:r>
                    <m:rPr>
                      <m:sty m:val="p"/>
                    </m:rPr>
                    <w:rPr>
                      <w:rFonts w:ascii="Cambria Math" w:hAnsi="Cambria Math"/>
                      <w:sz w:val="22"/>
                      <w:szCs w:val="22"/>
                    </w:rPr>
                    <m:t>4</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LEV</m:t>
                  </m:r>
                </m:e>
                <m:sub>
                  <m:r>
                    <w:rPr>
                      <w:rFonts w:ascii="Cambria Math" w:hAnsi="Cambria Math"/>
                      <w:sz w:val="22"/>
                      <w:szCs w:val="22"/>
                    </w:rPr>
                    <m:t>it</m:t>
                  </m:r>
                </m:sub>
              </m:sSub>
            </m:e>
          </m:d>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RET</m:t>
              </m:r>
            </m:e>
            <m:sub>
              <m:r>
                <w:rPr>
                  <w:rFonts w:ascii="Cambria Math" w:hAnsi="Cambria Math"/>
                  <w:sz w:val="22"/>
                  <w:szCs w:val="22"/>
                </w:rPr>
                <m:t>it</m:t>
              </m:r>
            </m:sub>
          </m:sSub>
          <m:r>
            <m:rPr>
              <m:sty m:val="p"/>
            </m:rPr>
            <w:rPr>
              <w:rFonts w:ascii="Cambria Math" w:hAnsi="Cambria Math"/>
              <w:sz w:val="22"/>
              <w:szCs w:val="22"/>
            </w:rPr>
            <m:t>+</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γ</m:t>
                  </m:r>
                </m:e>
                <m:sub>
                  <m:r>
                    <m:rPr>
                      <m:sty m:val="p"/>
                    </m:rPr>
                    <w:rPr>
                      <w:rFonts w:ascii="Cambria Math" w:hAnsi="Cambria Math"/>
                      <w:sz w:val="22"/>
                      <w:szCs w:val="22"/>
                    </w:rPr>
                    <m:t>1</m:t>
                  </m:r>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γ</m:t>
                  </m:r>
                </m:e>
                <m:sub>
                  <m:r>
                    <m:rPr>
                      <m:sty m:val="p"/>
                    </m:rPr>
                    <w:rPr>
                      <w:rFonts w:ascii="Cambria Math" w:hAnsi="Cambria Math"/>
                      <w:sz w:val="22"/>
                      <w:szCs w:val="22"/>
                    </w:rPr>
                    <m:t>2</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SIZE</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γ</m:t>
                  </m:r>
                </m:e>
                <m:sub>
                  <m:r>
                    <m:rPr>
                      <m:sty m:val="p"/>
                    </m:rPr>
                    <w:rPr>
                      <w:rFonts w:ascii="Cambria Math" w:hAnsi="Cambria Math"/>
                      <w:sz w:val="22"/>
                      <w:szCs w:val="22"/>
                    </w:rPr>
                    <m:t>3</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MB</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γ</m:t>
                  </m:r>
                </m:e>
                <m:sub>
                  <m:r>
                    <m:rPr>
                      <m:sty m:val="p"/>
                    </m:rPr>
                    <w:rPr>
                      <w:rFonts w:ascii="Cambria Math" w:hAnsi="Cambria Math"/>
                      <w:sz w:val="22"/>
                      <w:szCs w:val="22"/>
                    </w:rPr>
                    <m:t>4</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LEV</m:t>
                  </m:r>
                </m:e>
                <m:sub>
                  <m:r>
                    <w:rPr>
                      <w:rFonts w:ascii="Cambria Math" w:hAnsi="Cambria Math"/>
                      <w:sz w:val="22"/>
                      <w:szCs w:val="22"/>
                    </w:rPr>
                    <m:t>it</m:t>
                  </m:r>
                </m:sub>
              </m:sSub>
            </m:e>
          </m:d>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NEG</m:t>
              </m:r>
              <m:r>
                <m:rPr>
                  <m:sty m:val="p"/>
                </m:rPr>
                <w:rPr>
                  <w:rFonts w:ascii="Cambria Math" w:hAnsi="Cambria Math"/>
                  <w:sz w:val="22"/>
                  <w:szCs w:val="22"/>
                </w:rPr>
                <m:t>_</m:t>
              </m:r>
              <m:r>
                <w:rPr>
                  <w:rFonts w:ascii="Cambria Math" w:hAnsi="Cambria Math"/>
                  <w:sz w:val="22"/>
                  <w:szCs w:val="22"/>
                </w:rPr>
                <m:t>DUM</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RET</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α</m:t>
              </m:r>
            </m:e>
            <m:sub>
              <m:r>
                <m:rPr>
                  <m:sty m:val="p"/>
                </m:rPr>
                <w:rPr>
                  <w:rFonts w:ascii="Cambria Math" w:hAnsi="Cambria Math"/>
                  <w:sz w:val="22"/>
                  <w:szCs w:val="22"/>
                </w:rPr>
                <m:t>1</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SIZE</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α</m:t>
              </m:r>
            </m:e>
            <m:sub>
              <m:r>
                <m:rPr>
                  <m:sty m:val="p"/>
                </m:rPr>
                <w:rPr>
                  <w:rFonts w:ascii="Cambria Math" w:hAnsi="Cambria Math"/>
                  <w:sz w:val="22"/>
                  <w:szCs w:val="22"/>
                </w:rPr>
                <m:t>2</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MB</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α</m:t>
              </m:r>
            </m:e>
            <m:sub>
              <m:r>
                <m:rPr>
                  <m:sty m:val="p"/>
                </m:rPr>
                <w:rPr>
                  <w:rFonts w:ascii="Cambria Math" w:hAnsi="Cambria Math"/>
                  <w:sz w:val="22"/>
                  <w:szCs w:val="22"/>
                </w:rPr>
                <m:t>3</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LEV</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α</m:t>
              </m:r>
            </m:e>
            <m:sub>
              <m:r>
                <m:rPr>
                  <m:sty m:val="p"/>
                </m:rPr>
                <w:rPr>
                  <w:rFonts w:ascii="Cambria Math" w:hAnsi="Cambria Math"/>
                  <w:sz w:val="22"/>
                  <w:szCs w:val="22"/>
                </w:rPr>
                <m:t>4</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SIZE</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NEG</m:t>
              </m:r>
              <m:r>
                <m:rPr>
                  <m:sty m:val="p"/>
                </m:rPr>
                <w:rPr>
                  <w:rFonts w:ascii="Cambria Math" w:hAnsi="Cambria Math"/>
                  <w:sz w:val="22"/>
                  <w:szCs w:val="22"/>
                </w:rPr>
                <m:t>_</m:t>
              </m:r>
              <m:r>
                <w:rPr>
                  <w:rFonts w:ascii="Cambria Math" w:hAnsi="Cambria Math"/>
                  <w:sz w:val="22"/>
                  <w:szCs w:val="22"/>
                </w:rPr>
                <m:t>DUM</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α</m:t>
              </m:r>
            </m:e>
            <m:sub>
              <m:r>
                <m:rPr>
                  <m:sty m:val="p"/>
                </m:rPr>
                <w:rPr>
                  <w:rFonts w:ascii="Cambria Math" w:hAnsi="Cambria Math"/>
                  <w:sz w:val="22"/>
                  <w:szCs w:val="22"/>
                </w:rPr>
                <m:t>5</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MB</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NEG</m:t>
              </m:r>
              <m:r>
                <m:rPr>
                  <m:sty m:val="p"/>
                </m:rPr>
                <w:rPr>
                  <w:rFonts w:ascii="Cambria Math" w:hAnsi="Cambria Math"/>
                  <w:sz w:val="22"/>
                  <w:szCs w:val="22"/>
                </w:rPr>
                <m:t>_</m:t>
              </m:r>
              <m:r>
                <w:rPr>
                  <w:rFonts w:ascii="Cambria Math" w:hAnsi="Cambria Math"/>
                  <w:sz w:val="22"/>
                  <w:szCs w:val="22"/>
                </w:rPr>
                <m:t>DUM</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α</m:t>
              </m:r>
            </m:e>
            <m:sub>
              <m:r>
                <m:rPr>
                  <m:sty m:val="p"/>
                </m:rPr>
                <w:rPr>
                  <w:rFonts w:ascii="Cambria Math" w:hAnsi="Cambria Math"/>
                  <w:sz w:val="22"/>
                  <w:szCs w:val="22"/>
                </w:rPr>
                <m:t>6</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LEV</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NEG</m:t>
              </m:r>
              <m:r>
                <m:rPr>
                  <m:sty m:val="p"/>
                </m:rPr>
                <w:rPr>
                  <w:rFonts w:ascii="Cambria Math" w:hAnsi="Cambria Math"/>
                  <w:sz w:val="22"/>
                  <w:szCs w:val="22"/>
                </w:rPr>
                <m:t>_</m:t>
              </m:r>
              <m:r>
                <w:rPr>
                  <w:rFonts w:ascii="Cambria Math" w:hAnsi="Cambria Math"/>
                  <w:sz w:val="22"/>
                  <w:szCs w:val="22"/>
                </w:rPr>
                <m:t>DUM</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it</m:t>
              </m:r>
            </m:sub>
          </m:sSub>
        </m:oMath>
      </m:oMathPara>
    </w:p>
    <w:p w14:paraId="415BE380" w14:textId="77777777" w:rsidR="00B74C89" w:rsidRPr="00C862C2" w:rsidRDefault="00B74C89" w:rsidP="00C862C2">
      <w:pPr>
        <w:spacing w:after="0" w:line="240" w:lineRule="auto"/>
        <w:jc w:val="both"/>
        <w:rPr>
          <w:rFonts w:ascii="Times New Roman" w:hAnsi="Times New Roman" w:cs="Times New Roman"/>
        </w:rPr>
      </w:pPr>
    </w:p>
    <w:p w14:paraId="7D337AC4" w14:textId="77777777" w:rsidR="00B74C89" w:rsidRPr="00C862C2" w:rsidRDefault="00B74C89" w:rsidP="00C862C2">
      <w:pPr>
        <w:pStyle w:val="Heading3"/>
        <w:spacing w:before="0" w:beforeAutospacing="0" w:after="0" w:afterAutospacing="0"/>
        <w:jc w:val="both"/>
        <w:rPr>
          <w:b w:val="0"/>
          <w:bCs w:val="0"/>
          <w:sz w:val="22"/>
          <w:szCs w:val="22"/>
        </w:rPr>
      </w:pPr>
      <w:r w:rsidRPr="00C862C2">
        <w:rPr>
          <w:rStyle w:val="Strong"/>
          <w:sz w:val="22"/>
          <w:szCs w:val="22"/>
        </w:rPr>
        <w:t>Interpretation of Coefficients</w:t>
      </w:r>
    </w:p>
    <w:p w14:paraId="3AF9A62B" w14:textId="77246A72" w:rsidR="00B74C89" w:rsidRPr="00C862C2" w:rsidRDefault="00B74C89" w:rsidP="00C862C2">
      <w:pPr>
        <w:pStyle w:val="NormalWeb"/>
        <w:numPr>
          <w:ilvl w:val="0"/>
          <w:numId w:val="3"/>
        </w:numPr>
        <w:spacing w:before="0" w:beforeAutospacing="0" w:after="0" w:afterAutospacing="0"/>
        <w:jc w:val="both"/>
        <w:rPr>
          <w:sz w:val="22"/>
          <w:szCs w:val="22"/>
        </w:rPr>
      </w:pPr>
      <w:r w:rsidRPr="00C862C2">
        <w:rPr>
          <w:sz w:val="22"/>
          <w:szCs w:val="22"/>
        </w:rPr>
        <w:t>Coefficients</w:t>
      </w:r>
      <m:oMath>
        <m:sSub>
          <m:sSubPr>
            <m:ctrlPr>
              <w:rPr>
                <w:rFonts w:ascii="Cambria Math" w:hAnsi="Cambria Math"/>
                <w:sz w:val="22"/>
                <w:szCs w:val="22"/>
              </w:rPr>
            </m:ctrlPr>
          </m:sSubPr>
          <m:e>
            <m:r>
              <w:rPr>
                <w:rFonts w:ascii="Cambria Math" w:hAnsi="Cambria Math"/>
                <w:sz w:val="22"/>
                <w:szCs w:val="22"/>
              </w:rPr>
              <m:t>δ</m:t>
            </m:r>
          </m:e>
          <m:sub>
            <m:r>
              <m:rPr>
                <m:sty m:val="p"/>
              </m:rPr>
              <w:rPr>
                <w:rFonts w:ascii="Cambria Math" w:hAnsi="Cambria Math"/>
                <w:sz w:val="22"/>
                <w:szCs w:val="22"/>
              </w:rPr>
              <m:t>1</m:t>
            </m:r>
          </m:sub>
        </m:sSub>
      </m:oMath>
      <w:r w:rsidRPr="00C862C2">
        <w:rPr>
          <w:rStyle w:val="Strong"/>
          <w:b w:val="0"/>
          <w:bCs w:val="0"/>
          <w:sz w:val="22"/>
          <w:szCs w:val="22"/>
        </w:rPr>
        <w:t xml:space="preserve">to </w:t>
      </w:r>
      <m:oMath>
        <m:sSub>
          <m:sSubPr>
            <m:ctrlPr>
              <w:rPr>
                <w:rFonts w:ascii="Cambria Math" w:hAnsi="Cambria Math"/>
                <w:sz w:val="22"/>
                <w:szCs w:val="22"/>
              </w:rPr>
            </m:ctrlPr>
          </m:sSubPr>
          <m:e>
            <m:r>
              <w:rPr>
                <w:rFonts w:ascii="Cambria Math" w:hAnsi="Cambria Math"/>
                <w:sz w:val="22"/>
                <w:szCs w:val="22"/>
              </w:rPr>
              <m:t>δ</m:t>
            </m:r>
          </m:e>
          <m:sub>
            <m:r>
              <m:rPr>
                <m:sty m:val="p"/>
              </m:rPr>
              <w:rPr>
                <w:rFonts w:ascii="Cambria Math" w:hAnsi="Cambria Math"/>
                <w:sz w:val="22"/>
                <w:szCs w:val="22"/>
              </w:rPr>
              <m:t>4</m:t>
            </m:r>
          </m:sub>
        </m:sSub>
      </m:oMath>
      <w:r w:rsidRPr="00C862C2">
        <w:rPr>
          <w:sz w:val="22"/>
          <w:szCs w:val="22"/>
        </w:rPr>
        <w:t xml:space="preserve">capture the effect of firm characteristics on </w:t>
      </w:r>
      <w:r w:rsidRPr="00C862C2">
        <w:rPr>
          <w:rStyle w:val="Strong"/>
          <w:b w:val="0"/>
          <w:bCs w:val="0"/>
          <w:sz w:val="22"/>
          <w:szCs w:val="22"/>
        </w:rPr>
        <w:t>earnings sensitivity to good news</w:t>
      </w:r>
      <w:r w:rsidRPr="00C862C2">
        <w:rPr>
          <w:sz w:val="22"/>
          <w:szCs w:val="22"/>
        </w:rPr>
        <w:t xml:space="preserve"> (</w:t>
      </w:r>
      <w:r w:rsidRPr="00C862C2">
        <w:rPr>
          <w:rStyle w:val="Emphasis"/>
          <w:i w:val="0"/>
          <w:iCs w:val="0"/>
          <w:sz w:val="22"/>
          <w:szCs w:val="22"/>
        </w:rPr>
        <w:t>G-Score</w:t>
      </w:r>
      <w:r w:rsidRPr="00C862C2">
        <w:rPr>
          <w:sz w:val="22"/>
          <w:szCs w:val="22"/>
        </w:rPr>
        <w:t>), as specified in Model (4).</w:t>
      </w:r>
    </w:p>
    <w:p w14:paraId="166887EE" w14:textId="68EFA754" w:rsidR="00B74C89" w:rsidRPr="00C862C2" w:rsidRDefault="00B74C89" w:rsidP="00C862C2">
      <w:pPr>
        <w:pStyle w:val="NormalWeb"/>
        <w:numPr>
          <w:ilvl w:val="0"/>
          <w:numId w:val="3"/>
        </w:numPr>
        <w:spacing w:before="0" w:beforeAutospacing="0" w:after="0" w:afterAutospacing="0"/>
        <w:jc w:val="both"/>
        <w:rPr>
          <w:sz w:val="22"/>
          <w:szCs w:val="22"/>
        </w:rPr>
      </w:pPr>
      <w:r w:rsidRPr="00C862C2">
        <w:rPr>
          <w:sz w:val="22"/>
          <w:szCs w:val="22"/>
        </w:rPr>
        <w:t xml:space="preserve">Coefficients </w:t>
      </w:r>
      <m:oMath>
        <m:sSub>
          <m:sSubPr>
            <m:ctrlPr>
              <w:rPr>
                <w:rFonts w:ascii="Cambria Math" w:hAnsi="Cambria Math"/>
                <w:sz w:val="22"/>
                <w:szCs w:val="22"/>
              </w:rPr>
            </m:ctrlPr>
          </m:sSubPr>
          <m:e>
            <m:r>
              <w:rPr>
                <w:rFonts w:ascii="Cambria Math" w:hAnsi="Cambria Math"/>
                <w:sz w:val="22"/>
                <w:szCs w:val="22"/>
              </w:rPr>
              <m:t>γ</m:t>
            </m:r>
          </m:e>
          <m:sub>
            <m:r>
              <m:rPr>
                <m:sty m:val="p"/>
              </m:rPr>
              <w:rPr>
                <w:rFonts w:ascii="Cambria Math" w:hAnsi="Cambria Math"/>
                <w:sz w:val="22"/>
                <w:szCs w:val="22"/>
              </w:rPr>
              <m:t>1</m:t>
            </m:r>
          </m:sub>
        </m:sSub>
      </m:oMath>
      <w:r w:rsidRPr="00C862C2">
        <w:rPr>
          <w:rStyle w:val="Strong"/>
          <w:b w:val="0"/>
          <w:bCs w:val="0"/>
          <w:sz w:val="22"/>
          <w:szCs w:val="22"/>
        </w:rPr>
        <w:t>to</w:t>
      </w:r>
      <m:oMath>
        <m:sSub>
          <m:sSubPr>
            <m:ctrlPr>
              <w:rPr>
                <w:rFonts w:ascii="Cambria Math" w:hAnsi="Cambria Math"/>
                <w:sz w:val="22"/>
                <w:szCs w:val="22"/>
              </w:rPr>
            </m:ctrlPr>
          </m:sSubPr>
          <m:e>
            <m:r>
              <w:rPr>
                <w:rFonts w:ascii="Cambria Math" w:hAnsi="Cambria Math"/>
                <w:sz w:val="22"/>
                <w:szCs w:val="22"/>
              </w:rPr>
              <m:t>γ</m:t>
            </m:r>
          </m:e>
          <m:sub>
            <m:r>
              <m:rPr>
                <m:sty m:val="p"/>
              </m:rPr>
              <w:rPr>
                <w:rFonts w:ascii="Cambria Math" w:hAnsi="Cambria Math"/>
                <w:sz w:val="22"/>
                <w:szCs w:val="22"/>
              </w:rPr>
              <m:t>4</m:t>
            </m:r>
          </m:sub>
        </m:sSub>
      </m:oMath>
      <w:r w:rsidRPr="00C862C2">
        <w:rPr>
          <w:sz w:val="22"/>
          <w:szCs w:val="22"/>
        </w:rPr>
        <w:t xml:space="preserve">represent the effect of firm characteristics on </w:t>
      </w:r>
      <w:r w:rsidRPr="00C862C2">
        <w:rPr>
          <w:rStyle w:val="Strong"/>
          <w:b w:val="0"/>
          <w:bCs w:val="0"/>
          <w:sz w:val="22"/>
          <w:szCs w:val="22"/>
        </w:rPr>
        <w:t>earnings sensitivity to bad news</w:t>
      </w:r>
      <w:r w:rsidRPr="00C862C2">
        <w:rPr>
          <w:sz w:val="22"/>
          <w:szCs w:val="22"/>
        </w:rPr>
        <w:t>, as specified in Model (5).</w:t>
      </w:r>
    </w:p>
    <w:p w14:paraId="433373CD" w14:textId="77777777" w:rsidR="00B74C89" w:rsidRDefault="00B74C89" w:rsidP="00C862C2">
      <w:pPr>
        <w:pStyle w:val="NormalWeb"/>
        <w:numPr>
          <w:ilvl w:val="0"/>
          <w:numId w:val="3"/>
        </w:numPr>
        <w:spacing w:before="0" w:beforeAutospacing="0" w:after="0" w:afterAutospacing="0"/>
        <w:jc w:val="both"/>
        <w:rPr>
          <w:sz w:val="22"/>
          <w:szCs w:val="22"/>
        </w:rPr>
      </w:pPr>
      <w:r w:rsidRPr="00C862C2">
        <w:rPr>
          <w:sz w:val="22"/>
          <w:szCs w:val="22"/>
        </w:rPr>
        <w:t xml:space="preserve">Higher sensitivity to bad news relative to good news reflects </w:t>
      </w:r>
      <w:r w:rsidRPr="00C862C2">
        <w:rPr>
          <w:rStyle w:val="Strong"/>
          <w:b w:val="0"/>
          <w:bCs w:val="0"/>
          <w:sz w:val="22"/>
          <w:szCs w:val="22"/>
        </w:rPr>
        <w:t>greater conditional conservatism</w:t>
      </w:r>
      <w:r w:rsidRPr="00C862C2">
        <w:rPr>
          <w:sz w:val="22"/>
          <w:szCs w:val="22"/>
        </w:rPr>
        <w:t xml:space="preserve"> in financial reporting.</w:t>
      </w:r>
    </w:p>
    <w:p w14:paraId="048CF433" w14:textId="77777777" w:rsidR="00C862C2" w:rsidRPr="00C862C2" w:rsidRDefault="00C862C2" w:rsidP="00C862C2">
      <w:pPr>
        <w:pStyle w:val="NormalWeb"/>
        <w:spacing w:before="0" w:beforeAutospacing="0" w:after="0" w:afterAutospacing="0"/>
        <w:ind w:left="720"/>
        <w:jc w:val="both"/>
        <w:rPr>
          <w:sz w:val="22"/>
          <w:szCs w:val="22"/>
        </w:rPr>
      </w:pPr>
    </w:p>
    <w:p w14:paraId="27EE5E1C" w14:textId="77777777" w:rsidR="00B74C89" w:rsidRPr="00C862C2" w:rsidRDefault="00214CA4" w:rsidP="00C862C2">
      <w:pPr>
        <w:pStyle w:val="Heading2"/>
        <w:spacing w:before="0" w:line="240" w:lineRule="auto"/>
        <w:jc w:val="both"/>
        <w:rPr>
          <w:rFonts w:ascii="Times New Roman" w:hAnsi="Times New Roman" w:cs="Times New Roman"/>
          <w:b w:val="0"/>
          <w:bCs w:val="0"/>
          <w:color w:val="auto"/>
          <w:sz w:val="22"/>
          <w:szCs w:val="22"/>
        </w:rPr>
      </w:pPr>
      <w:r w:rsidRPr="00C862C2">
        <w:rPr>
          <w:rStyle w:val="Strong"/>
          <w:rFonts w:ascii="Times New Roman" w:hAnsi="Times New Roman" w:cs="Times New Roman"/>
          <w:b/>
          <w:bCs/>
          <w:color w:val="auto"/>
          <w:sz w:val="22"/>
          <w:szCs w:val="22"/>
        </w:rPr>
        <w:t>b)</w:t>
      </w:r>
      <w:r w:rsidR="00B74C89" w:rsidRPr="00C862C2">
        <w:rPr>
          <w:rStyle w:val="Strong"/>
          <w:rFonts w:ascii="Times New Roman" w:hAnsi="Times New Roman" w:cs="Times New Roman"/>
          <w:b/>
          <w:bCs/>
          <w:color w:val="auto"/>
          <w:sz w:val="22"/>
          <w:szCs w:val="22"/>
        </w:rPr>
        <w:t xml:space="preserve"> Environmental </w:t>
      </w:r>
      <w:r w:rsidR="004902A2" w:rsidRPr="00C862C2">
        <w:rPr>
          <w:rStyle w:val="Strong"/>
          <w:rFonts w:ascii="Times New Roman" w:hAnsi="Times New Roman" w:cs="Times New Roman"/>
          <w:b/>
          <w:bCs/>
          <w:color w:val="auto"/>
          <w:sz w:val="22"/>
          <w:szCs w:val="22"/>
        </w:rPr>
        <w:t>d</w:t>
      </w:r>
      <w:r w:rsidR="00B74C89" w:rsidRPr="00C862C2">
        <w:rPr>
          <w:rStyle w:val="Strong"/>
          <w:rFonts w:ascii="Times New Roman" w:hAnsi="Times New Roman" w:cs="Times New Roman"/>
          <w:b/>
          <w:bCs/>
          <w:color w:val="auto"/>
          <w:sz w:val="22"/>
          <w:szCs w:val="22"/>
        </w:rPr>
        <w:t>isclosure (ED)</w:t>
      </w:r>
    </w:p>
    <w:p w14:paraId="7E9D1B74" w14:textId="77777777" w:rsidR="00B74C89" w:rsidRPr="00C862C2" w:rsidRDefault="00B74C89" w:rsidP="00C862C2">
      <w:pPr>
        <w:pStyle w:val="NormalWeb"/>
        <w:spacing w:before="0" w:beforeAutospacing="0" w:after="0" w:afterAutospacing="0"/>
        <w:jc w:val="both"/>
        <w:rPr>
          <w:sz w:val="22"/>
          <w:szCs w:val="22"/>
        </w:rPr>
      </w:pPr>
      <w:r w:rsidRPr="00C862C2">
        <w:rPr>
          <w:sz w:val="22"/>
          <w:szCs w:val="22"/>
        </w:rPr>
        <w:t>To measure corporate environmental disclosur</w:t>
      </w:r>
      <w:r w:rsidR="00C40EE8" w:rsidRPr="00C862C2">
        <w:rPr>
          <w:sz w:val="22"/>
          <w:szCs w:val="22"/>
        </w:rPr>
        <w:t xml:space="preserve">e, this study follows the </w:t>
      </w:r>
      <w:proofErr w:type="gramStart"/>
      <w:r w:rsidR="00C40EE8" w:rsidRPr="00C862C2">
        <w:rPr>
          <w:sz w:val="22"/>
          <w:szCs w:val="22"/>
        </w:rPr>
        <w:t xml:space="preserve">index </w:t>
      </w:r>
      <w:r w:rsidRPr="00C862C2">
        <w:rPr>
          <w:sz w:val="22"/>
          <w:szCs w:val="22"/>
        </w:rPr>
        <w:t>based</w:t>
      </w:r>
      <w:proofErr w:type="gramEnd"/>
      <w:r w:rsidRPr="00C862C2">
        <w:rPr>
          <w:sz w:val="22"/>
          <w:szCs w:val="22"/>
        </w:rPr>
        <w:t xml:space="preserve"> approach of Masoumi et al. (2018), employing a structured checklist of sustainability-related disclosure items expected to appear in Iranian firms’ annual reports.</w:t>
      </w:r>
    </w:p>
    <w:p w14:paraId="6C3335B0" w14:textId="77777777" w:rsidR="00B74C89" w:rsidRPr="00C862C2" w:rsidRDefault="00B74C89" w:rsidP="00C862C2">
      <w:pPr>
        <w:pStyle w:val="NormalWeb"/>
        <w:spacing w:before="0" w:beforeAutospacing="0" w:after="0" w:afterAutospacing="0"/>
        <w:jc w:val="both"/>
        <w:rPr>
          <w:sz w:val="22"/>
          <w:szCs w:val="22"/>
        </w:rPr>
      </w:pPr>
      <w:r w:rsidRPr="00C862C2">
        <w:rPr>
          <w:sz w:val="22"/>
          <w:szCs w:val="22"/>
        </w:rPr>
        <w:t xml:space="preserve">A </w:t>
      </w:r>
      <w:r w:rsidRPr="00C862C2">
        <w:rPr>
          <w:rStyle w:val="Strong"/>
          <w:b w:val="0"/>
          <w:bCs w:val="0"/>
          <w:sz w:val="22"/>
          <w:szCs w:val="22"/>
        </w:rPr>
        <w:t>content analysis method</w:t>
      </w:r>
      <w:r w:rsidRPr="00C862C2">
        <w:rPr>
          <w:sz w:val="22"/>
          <w:szCs w:val="22"/>
        </w:rPr>
        <w:t xml:space="preserve"> is used to score environmental disclosure as follows:</w:t>
      </w:r>
    </w:p>
    <w:p w14:paraId="039F8738" w14:textId="77777777" w:rsidR="00B74C89" w:rsidRPr="00C862C2" w:rsidRDefault="00B74C89" w:rsidP="00C862C2">
      <w:pPr>
        <w:pStyle w:val="NormalWeb"/>
        <w:numPr>
          <w:ilvl w:val="0"/>
          <w:numId w:val="4"/>
        </w:numPr>
        <w:spacing w:before="0" w:beforeAutospacing="0" w:after="0" w:afterAutospacing="0"/>
        <w:jc w:val="both"/>
        <w:rPr>
          <w:sz w:val="22"/>
          <w:szCs w:val="22"/>
        </w:rPr>
      </w:pPr>
      <w:r w:rsidRPr="00C862C2">
        <w:rPr>
          <w:sz w:val="22"/>
          <w:szCs w:val="22"/>
        </w:rPr>
        <w:t xml:space="preserve">If a specific environmental item from the checklist is disclosed in the annual report, a score of </w:t>
      </w:r>
      <w:r w:rsidRPr="00C862C2">
        <w:rPr>
          <w:rStyle w:val="Strong"/>
          <w:b w:val="0"/>
          <w:bCs w:val="0"/>
          <w:sz w:val="22"/>
          <w:szCs w:val="22"/>
        </w:rPr>
        <w:t>1</w:t>
      </w:r>
      <w:r w:rsidRPr="00C862C2">
        <w:rPr>
          <w:sz w:val="22"/>
          <w:szCs w:val="22"/>
        </w:rPr>
        <w:t xml:space="preserve"> is assigned.</w:t>
      </w:r>
    </w:p>
    <w:p w14:paraId="1A132093" w14:textId="77777777" w:rsidR="00B74C89" w:rsidRPr="00C862C2" w:rsidRDefault="00B74C89" w:rsidP="00C862C2">
      <w:pPr>
        <w:pStyle w:val="NormalWeb"/>
        <w:numPr>
          <w:ilvl w:val="0"/>
          <w:numId w:val="4"/>
        </w:numPr>
        <w:spacing w:before="0" w:beforeAutospacing="0" w:after="0" w:afterAutospacing="0"/>
        <w:jc w:val="both"/>
        <w:rPr>
          <w:sz w:val="22"/>
          <w:szCs w:val="22"/>
        </w:rPr>
      </w:pPr>
      <w:r w:rsidRPr="00C862C2">
        <w:rPr>
          <w:sz w:val="22"/>
          <w:szCs w:val="22"/>
        </w:rPr>
        <w:t xml:space="preserve">If the item is </w:t>
      </w:r>
      <w:r w:rsidRPr="00C862C2">
        <w:rPr>
          <w:rStyle w:val="Strong"/>
          <w:b w:val="0"/>
          <w:bCs w:val="0"/>
          <w:sz w:val="22"/>
          <w:szCs w:val="22"/>
        </w:rPr>
        <w:t>not disclosed</w:t>
      </w:r>
      <w:r w:rsidRPr="00C862C2">
        <w:rPr>
          <w:sz w:val="22"/>
          <w:szCs w:val="22"/>
        </w:rPr>
        <w:t xml:space="preserve">, a score of </w:t>
      </w:r>
      <w:r w:rsidRPr="00C862C2">
        <w:rPr>
          <w:rStyle w:val="Strong"/>
          <w:b w:val="0"/>
          <w:bCs w:val="0"/>
          <w:sz w:val="22"/>
          <w:szCs w:val="22"/>
        </w:rPr>
        <w:t>0</w:t>
      </w:r>
      <w:r w:rsidRPr="00C862C2">
        <w:rPr>
          <w:sz w:val="22"/>
          <w:szCs w:val="22"/>
        </w:rPr>
        <w:t xml:space="preserve"> is assigned.</w:t>
      </w:r>
    </w:p>
    <w:p w14:paraId="6AD567D7" w14:textId="5DF66B63" w:rsidR="00B74C89" w:rsidRDefault="00B74C89" w:rsidP="00C862C2">
      <w:pPr>
        <w:pStyle w:val="NormalWeb"/>
        <w:spacing w:before="0" w:beforeAutospacing="0" w:after="0" w:afterAutospacing="0"/>
        <w:jc w:val="both"/>
        <w:rPr>
          <w:sz w:val="22"/>
          <w:szCs w:val="22"/>
        </w:rPr>
      </w:pPr>
      <w:r w:rsidRPr="00C862C2">
        <w:rPr>
          <w:sz w:val="22"/>
          <w:szCs w:val="22"/>
        </w:rPr>
        <w:t xml:space="preserve">The </w:t>
      </w:r>
      <w:r w:rsidRPr="00C862C2">
        <w:rPr>
          <w:rStyle w:val="Strong"/>
          <w:b w:val="0"/>
          <w:bCs w:val="0"/>
          <w:sz w:val="22"/>
          <w:szCs w:val="22"/>
        </w:rPr>
        <w:t>environmental disclosure score (ED)</w:t>
      </w:r>
      <w:r w:rsidRPr="00C862C2">
        <w:rPr>
          <w:sz w:val="22"/>
          <w:szCs w:val="22"/>
        </w:rPr>
        <w:t xml:space="preserve"> is then calculated as the </w:t>
      </w:r>
      <w:r w:rsidRPr="00C862C2">
        <w:rPr>
          <w:rStyle w:val="Strong"/>
          <w:b w:val="0"/>
          <w:bCs w:val="0"/>
          <w:sz w:val="22"/>
          <w:szCs w:val="22"/>
        </w:rPr>
        <w:t>average of all checklist items</w:t>
      </w:r>
      <w:r w:rsidRPr="00C862C2">
        <w:rPr>
          <w:sz w:val="22"/>
          <w:szCs w:val="22"/>
        </w:rPr>
        <w:t>, where higher values indicate higher levels of environmental reporting.</w:t>
      </w:r>
      <w:r w:rsidR="00146D68" w:rsidRPr="00C862C2">
        <w:rPr>
          <w:sz w:val="22"/>
          <w:szCs w:val="22"/>
        </w:rPr>
        <w:t xml:space="preserve"> </w:t>
      </w:r>
      <w:r w:rsidRPr="00C862C2">
        <w:rPr>
          <w:sz w:val="22"/>
          <w:szCs w:val="22"/>
        </w:rPr>
        <w:t xml:space="preserve">All required information is collected from the </w:t>
      </w:r>
      <w:r w:rsidRPr="00C862C2">
        <w:rPr>
          <w:rStyle w:val="Strong"/>
          <w:b w:val="0"/>
          <w:bCs w:val="0"/>
          <w:sz w:val="22"/>
          <w:szCs w:val="22"/>
        </w:rPr>
        <w:t>Board of Directors’ annual reports</w:t>
      </w:r>
      <w:r w:rsidRPr="00C862C2">
        <w:rPr>
          <w:sz w:val="22"/>
          <w:szCs w:val="22"/>
        </w:rPr>
        <w:t>, and the disclosure items are categorized as follows:</w:t>
      </w:r>
    </w:p>
    <w:p w14:paraId="22CF80E0" w14:textId="77777777" w:rsidR="00C862C2" w:rsidRPr="00C862C2" w:rsidRDefault="00C862C2" w:rsidP="00C862C2">
      <w:pPr>
        <w:pStyle w:val="NormalWeb"/>
        <w:spacing w:before="0" w:beforeAutospacing="0" w:after="0" w:afterAutospacing="0"/>
        <w:jc w:val="both"/>
        <w:rPr>
          <w:sz w:val="22"/>
          <w:szCs w:val="22"/>
        </w:rPr>
      </w:pPr>
    </w:p>
    <w:p w14:paraId="11265741" w14:textId="77777777" w:rsidR="00146D68" w:rsidRPr="00C862C2" w:rsidRDefault="00146D68" w:rsidP="00C862C2">
      <w:pPr>
        <w:spacing w:after="0" w:line="240" w:lineRule="auto"/>
        <w:jc w:val="both"/>
        <w:rPr>
          <w:rFonts w:ascii="Times New Roman" w:hAnsi="Times New Roman" w:cs="Times New Roman"/>
        </w:rPr>
      </w:pPr>
      <w:r w:rsidRPr="00C862C2">
        <w:rPr>
          <w:rFonts w:ascii="Times New Roman" w:hAnsi="Times New Roman" w:cs="Times New Roman"/>
          <w:b/>
          <w:bCs/>
        </w:rPr>
        <w:t>Table 1.</w:t>
      </w:r>
      <w:r w:rsidRPr="00C862C2">
        <w:rPr>
          <w:rFonts w:ascii="Times New Roman" w:hAnsi="Times New Roman" w:cs="Times New Roman"/>
        </w:rPr>
        <w:t xml:space="preserve"> disclosure of environmental indicators</w:t>
      </w:r>
    </w:p>
    <w:tbl>
      <w:tblPr>
        <w:tblStyle w:val="TableGrid"/>
        <w:bidiVisual/>
        <w:tblW w:w="9632" w:type="dxa"/>
        <w:tblInd w:w="-184" w:type="dxa"/>
        <w:tblLook w:val="04A0" w:firstRow="1" w:lastRow="0" w:firstColumn="1" w:lastColumn="0" w:noHBand="0" w:noVBand="1"/>
      </w:tblPr>
      <w:tblGrid>
        <w:gridCol w:w="7364"/>
        <w:gridCol w:w="2268"/>
      </w:tblGrid>
      <w:tr w:rsidR="00146D68" w:rsidRPr="00C862C2" w14:paraId="4A7CB957" w14:textId="77777777" w:rsidTr="00146D68">
        <w:tc>
          <w:tcPr>
            <w:tcW w:w="7364" w:type="dxa"/>
            <w:vAlign w:val="center"/>
          </w:tcPr>
          <w:p w14:paraId="06EE008E"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The amount and value of progressive raw materials separately from direct and indirect.</w:t>
            </w:r>
          </w:p>
          <w:p w14:paraId="7397F3F1"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Total amount of water to be removed by source.</w:t>
            </w:r>
          </w:p>
          <w:p w14:paraId="277652C6"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Volume of water recycled and reused.</w:t>
            </w:r>
          </w:p>
          <w:p w14:paraId="015230E7"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Direct and indirect energy consumption by source and amount.</w:t>
            </w:r>
          </w:p>
          <w:p w14:paraId="492ABF85"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Renewable energy production and monitoring programs.</w:t>
            </w:r>
          </w:p>
          <w:p w14:paraId="0802349A"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Reducing energy consumption.</w:t>
            </w:r>
          </w:p>
        </w:tc>
        <w:tc>
          <w:tcPr>
            <w:tcW w:w="2268" w:type="dxa"/>
            <w:vAlign w:val="center"/>
          </w:tcPr>
          <w:p w14:paraId="74B7CE92" w14:textId="30126131" w:rsidR="00146D68" w:rsidRPr="00C862C2" w:rsidRDefault="00146D68" w:rsidP="00C862C2">
            <w:pPr>
              <w:rPr>
                <w:rFonts w:ascii="Times New Roman" w:hAnsi="Times New Roman" w:cs="Times New Roman"/>
                <w:rtl/>
              </w:rPr>
            </w:pPr>
            <w:r w:rsidRPr="00C862C2">
              <w:rPr>
                <w:rFonts w:ascii="Times New Roman" w:hAnsi="Times New Roman" w:cs="Times New Roman"/>
              </w:rPr>
              <w:t>Raw materials, water and energy</w:t>
            </w:r>
          </w:p>
        </w:tc>
      </w:tr>
      <w:tr w:rsidR="00146D68" w:rsidRPr="00C862C2" w14:paraId="3083017F" w14:textId="77777777" w:rsidTr="00146D68">
        <w:tc>
          <w:tcPr>
            <w:tcW w:w="7364" w:type="dxa"/>
            <w:vAlign w:val="center"/>
          </w:tcPr>
          <w:p w14:paraId="2DDF13A7"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Actions taken to reduce greenhouse gas emissions, methods and criteria for removing gases and the results.</w:t>
            </w:r>
          </w:p>
          <w:p w14:paraId="6201A75C"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Procedures on how to reduce hazardous and safe wastes and proper waste disposal in compliance with environmental issues.</w:t>
            </w:r>
          </w:p>
          <w:p w14:paraId="747E6F60"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Total weight of waste by type and disposal method.</w:t>
            </w:r>
          </w:p>
        </w:tc>
        <w:tc>
          <w:tcPr>
            <w:tcW w:w="2268" w:type="dxa"/>
            <w:vAlign w:val="center"/>
          </w:tcPr>
          <w:p w14:paraId="20C49489"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Emission of gases and disposal of waste</w:t>
            </w:r>
          </w:p>
        </w:tc>
      </w:tr>
      <w:tr w:rsidR="00146D68" w:rsidRPr="00C862C2" w14:paraId="359FBE97" w14:textId="77777777" w:rsidTr="00146D68">
        <w:tc>
          <w:tcPr>
            <w:tcW w:w="7364" w:type="dxa"/>
            <w:vAlign w:val="center"/>
          </w:tcPr>
          <w:p w14:paraId="2CDD21AE"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The amount of reduction in the environmental effects of assignments and services (soil, forest, etc.).</w:t>
            </w:r>
          </w:p>
          <w:p w14:paraId="3A61E10F"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Explaining activities to comply with environmental issues from the perspective of customers, consumers and the company's supply chain.</w:t>
            </w:r>
          </w:p>
          <w:p w14:paraId="5803D5EA"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Designing environmentally friendly facilities and equipment and environmentally friendly products.</w:t>
            </w:r>
          </w:p>
          <w:p w14:paraId="26324734"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Informing and providing advice to the company's customers for environmentally friendly consumption and reducing its harmful effects on the environment.</w:t>
            </w:r>
          </w:p>
        </w:tc>
        <w:tc>
          <w:tcPr>
            <w:tcW w:w="2268" w:type="dxa"/>
            <w:vAlign w:val="center"/>
          </w:tcPr>
          <w:p w14:paraId="309740DA"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Environmental effects of products and services</w:t>
            </w:r>
          </w:p>
        </w:tc>
      </w:tr>
      <w:tr w:rsidR="00146D68" w:rsidRPr="00C862C2" w14:paraId="73A2704F" w14:textId="77777777" w:rsidTr="00146D68">
        <w:tc>
          <w:tcPr>
            <w:tcW w:w="7364" w:type="dxa"/>
            <w:vAlign w:val="center"/>
          </w:tcPr>
          <w:p w14:paraId="4C5F8710"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Company's ID, charter and local charter</w:t>
            </w:r>
          </w:p>
          <w:p w14:paraId="07CD5359"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Lawsuits arising from environmental issues.</w:t>
            </w:r>
          </w:p>
        </w:tc>
        <w:tc>
          <w:tcPr>
            <w:tcW w:w="2268" w:type="dxa"/>
            <w:vAlign w:val="center"/>
          </w:tcPr>
          <w:p w14:paraId="6B032B56"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Compliance with environmental laws and regulations</w:t>
            </w:r>
          </w:p>
        </w:tc>
      </w:tr>
    </w:tbl>
    <w:p w14:paraId="39BB8075" w14:textId="77777777" w:rsidR="00146D68" w:rsidRPr="00C862C2" w:rsidRDefault="00146D68" w:rsidP="00C862C2">
      <w:pPr>
        <w:spacing w:after="0" w:line="240" w:lineRule="auto"/>
        <w:jc w:val="both"/>
        <w:rPr>
          <w:rFonts w:ascii="Times New Roman" w:eastAsia="Times New Roman" w:hAnsi="Times New Roman" w:cs="Times New Roman"/>
          <w:b/>
          <w:bCs/>
        </w:rPr>
      </w:pPr>
    </w:p>
    <w:p w14:paraId="495FDCF2" w14:textId="77777777" w:rsidR="00B74C89" w:rsidRPr="00C862C2" w:rsidRDefault="00214CA4" w:rsidP="00C862C2">
      <w:pPr>
        <w:pStyle w:val="Heading2"/>
        <w:spacing w:before="0" w:line="240" w:lineRule="auto"/>
        <w:jc w:val="both"/>
        <w:rPr>
          <w:rFonts w:ascii="Times New Roman" w:hAnsi="Times New Roman" w:cs="Times New Roman"/>
          <w:b w:val="0"/>
          <w:bCs w:val="0"/>
          <w:color w:val="auto"/>
          <w:sz w:val="22"/>
          <w:szCs w:val="22"/>
        </w:rPr>
      </w:pPr>
      <w:r w:rsidRPr="00C862C2">
        <w:rPr>
          <w:rStyle w:val="Strong"/>
          <w:rFonts w:ascii="Times New Roman" w:hAnsi="Times New Roman" w:cs="Times New Roman"/>
          <w:b/>
          <w:bCs/>
          <w:color w:val="auto"/>
          <w:sz w:val="22"/>
          <w:szCs w:val="22"/>
        </w:rPr>
        <w:t xml:space="preserve">3.2.2 </w:t>
      </w:r>
      <w:r w:rsidR="00B74C89" w:rsidRPr="00C862C2">
        <w:rPr>
          <w:rStyle w:val="Strong"/>
          <w:rFonts w:ascii="Times New Roman" w:hAnsi="Times New Roman" w:cs="Times New Roman"/>
          <w:b/>
          <w:bCs/>
          <w:color w:val="auto"/>
          <w:sz w:val="22"/>
          <w:szCs w:val="22"/>
        </w:rPr>
        <w:t xml:space="preserve">Independent </w:t>
      </w:r>
      <w:r w:rsidR="004902A2" w:rsidRPr="00C862C2">
        <w:rPr>
          <w:rStyle w:val="Strong"/>
          <w:rFonts w:ascii="Times New Roman" w:hAnsi="Times New Roman" w:cs="Times New Roman"/>
          <w:b/>
          <w:bCs/>
          <w:color w:val="auto"/>
          <w:sz w:val="22"/>
          <w:szCs w:val="22"/>
        </w:rPr>
        <w:t>v</w:t>
      </w:r>
      <w:r w:rsidR="00B74C89" w:rsidRPr="00C862C2">
        <w:rPr>
          <w:rStyle w:val="Strong"/>
          <w:rFonts w:ascii="Times New Roman" w:hAnsi="Times New Roman" w:cs="Times New Roman"/>
          <w:b/>
          <w:bCs/>
          <w:color w:val="auto"/>
          <w:sz w:val="22"/>
          <w:szCs w:val="22"/>
        </w:rPr>
        <w:t>ariable: Corporate Life Cycle (CLC)</w:t>
      </w:r>
    </w:p>
    <w:p w14:paraId="7DABFC43" w14:textId="77777777" w:rsidR="00B74C89" w:rsidRPr="00C862C2" w:rsidRDefault="00B74C89" w:rsidP="00C862C2">
      <w:pPr>
        <w:pStyle w:val="NormalWeb"/>
        <w:spacing w:before="0" w:beforeAutospacing="0" w:after="0" w:afterAutospacing="0"/>
        <w:jc w:val="both"/>
        <w:rPr>
          <w:sz w:val="22"/>
          <w:szCs w:val="22"/>
        </w:rPr>
      </w:pPr>
      <w:r w:rsidRPr="00C862C2">
        <w:rPr>
          <w:sz w:val="22"/>
          <w:szCs w:val="22"/>
        </w:rPr>
        <w:t xml:space="preserve">Anthony and Ramesh (1992) classified firms into corporate life cycle stages using four indicators: </w:t>
      </w:r>
      <w:r w:rsidRPr="00C862C2">
        <w:rPr>
          <w:rStyle w:val="Strong"/>
          <w:b w:val="0"/>
          <w:bCs w:val="0"/>
          <w:sz w:val="22"/>
          <w:szCs w:val="22"/>
        </w:rPr>
        <w:t xml:space="preserve">sales growth, capital expenditures, dividend payout ratio, and firm </w:t>
      </w:r>
      <w:proofErr w:type="spellStart"/>
      <w:proofErr w:type="gramStart"/>
      <w:r w:rsidRPr="00C862C2">
        <w:rPr>
          <w:rStyle w:val="Strong"/>
          <w:b w:val="0"/>
          <w:bCs w:val="0"/>
          <w:sz w:val="22"/>
          <w:szCs w:val="22"/>
        </w:rPr>
        <w:t>age</w:t>
      </w:r>
      <w:r w:rsidRPr="00C862C2">
        <w:rPr>
          <w:sz w:val="22"/>
          <w:szCs w:val="22"/>
        </w:rPr>
        <w:t>.According</w:t>
      </w:r>
      <w:proofErr w:type="spellEnd"/>
      <w:proofErr w:type="gramEnd"/>
      <w:r w:rsidRPr="00C862C2">
        <w:rPr>
          <w:sz w:val="22"/>
          <w:szCs w:val="22"/>
        </w:rPr>
        <w:t xml:space="preserve"> to Article 6 of the listing requirements of the Tehran Stock Exchange (TSE), firms must meet the following conditions to be listed:</w:t>
      </w:r>
    </w:p>
    <w:p w14:paraId="49F99A10" w14:textId="77777777" w:rsidR="00B74C89" w:rsidRPr="00C862C2" w:rsidRDefault="00B74C89" w:rsidP="00C862C2">
      <w:pPr>
        <w:pStyle w:val="NormalWeb"/>
        <w:numPr>
          <w:ilvl w:val="0"/>
          <w:numId w:val="5"/>
        </w:numPr>
        <w:spacing w:before="0" w:beforeAutospacing="0" w:after="0" w:afterAutospacing="0"/>
        <w:jc w:val="both"/>
        <w:rPr>
          <w:sz w:val="22"/>
          <w:szCs w:val="22"/>
        </w:rPr>
      </w:pPr>
      <w:r w:rsidRPr="00C862C2">
        <w:rPr>
          <w:rStyle w:val="Strong"/>
          <w:b w:val="0"/>
          <w:bCs w:val="0"/>
          <w:sz w:val="22"/>
          <w:szCs w:val="22"/>
        </w:rPr>
        <w:t>A minimum of three years of operational history</w:t>
      </w:r>
      <w:r w:rsidRPr="00C862C2">
        <w:rPr>
          <w:sz w:val="22"/>
          <w:szCs w:val="22"/>
        </w:rPr>
        <w:t xml:space="preserve"> within the relevant industry and business scope.</w:t>
      </w:r>
    </w:p>
    <w:p w14:paraId="07983E3E" w14:textId="77777777" w:rsidR="00B74C89" w:rsidRPr="00C862C2" w:rsidRDefault="00B74C89" w:rsidP="00C862C2">
      <w:pPr>
        <w:pStyle w:val="NormalWeb"/>
        <w:numPr>
          <w:ilvl w:val="0"/>
          <w:numId w:val="5"/>
        </w:numPr>
        <w:spacing w:before="0" w:beforeAutospacing="0" w:after="0" w:afterAutospacing="0"/>
        <w:jc w:val="both"/>
        <w:rPr>
          <w:sz w:val="22"/>
          <w:szCs w:val="22"/>
        </w:rPr>
      </w:pPr>
      <w:r w:rsidRPr="00C862C2">
        <w:rPr>
          <w:rStyle w:val="Strong"/>
          <w:b w:val="0"/>
          <w:bCs w:val="0"/>
          <w:sz w:val="22"/>
          <w:szCs w:val="22"/>
        </w:rPr>
        <w:t>Positive profitability for at least three consecutive fiscal years prior to listing.</w:t>
      </w:r>
    </w:p>
    <w:p w14:paraId="76988F9C" w14:textId="77777777" w:rsidR="00B74C89" w:rsidRPr="00C862C2" w:rsidRDefault="00B74C89" w:rsidP="00C862C2">
      <w:pPr>
        <w:pStyle w:val="NormalWeb"/>
        <w:spacing w:before="0" w:beforeAutospacing="0" w:after="0" w:afterAutospacing="0"/>
        <w:jc w:val="both"/>
        <w:rPr>
          <w:sz w:val="22"/>
          <w:szCs w:val="22"/>
        </w:rPr>
      </w:pPr>
      <w:r w:rsidRPr="00C862C2">
        <w:rPr>
          <w:sz w:val="22"/>
          <w:szCs w:val="22"/>
        </w:rPr>
        <w:t xml:space="preserve">Given these regulatory conditions, newly established firms (emergence stage) are typically either </w:t>
      </w:r>
      <w:r w:rsidRPr="00C862C2">
        <w:rPr>
          <w:rStyle w:val="Strong"/>
          <w:b w:val="0"/>
          <w:bCs w:val="0"/>
          <w:sz w:val="22"/>
          <w:szCs w:val="22"/>
        </w:rPr>
        <w:t>not publicly traded</w:t>
      </w:r>
      <w:r w:rsidRPr="00C862C2">
        <w:rPr>
          <w:sz w:val="22"/>
          <w:szCs w:val="22"/>
        </w:rPr>
        <w:t xml:space="preserve"> or exhibit </w:t>
      </w:r>
      <w:r w:rsidRPr="00C862C2">
        <w:rPr>
          <w:rStyle w:val="Strong"/>
          <w:b w:val="0"/>
          <w:bCs w:val="0"/>
          <w:sz w:val="22"/>
          <w:szCs w:val="22"/>
        </w:rPr>
        <w:t>inactive trading status</w:t>
      </w:r>
      <w:r w:rsidRPr="00C862C2">
        <w:rPr>
          <w:sz w:val="22"/>
          <w:szCs w:val="22"/>
        </w:rPr>
        <w:t xml:space="preserve"> in the TSE. Therefore, consistent with Armin et al. (2025), the present study </w:t>
      </w:r>
      <w:r w:rsidRPr="00C862C2">
        <w:rPr>
          <w:rStyle w:val="Strong"/>
          <w:b w:val="0"/>
          <w:bCs w:val="0"/>
          <w:sz w:val="22"/>
          <w:szCs w:val="22"/>
        </w:rPr>
        <w:t>excludes the introduction (emergence) stage</w:t>
      </w:r>
      <w:r w:rsidRPr="00C862C2">
        <w:rPr>
          <w:sz w:val="22"/>
          <w:szCs w:val="22"/>
        </w:rPr>
        <w:t xml:space="preserve"> and classifies the corporate life cycle into three stages only:</w:t>
      </w:r>
    </w:p>
    <w:p w14:paraId="55CA51A0" w14:textId="77777777" w:rsidR="00B74C89" w:rsidRPr="00C862C2" w:rsidRDefault="00B74C89" w:rsidP="00C862C2">
      <w:pPr>
        <w:pStyle w:val="NormalWeb"/>
        <w:numPr>
          <w:ilvl w:val="0"/>
          <w:numId w:val="6"/>
        </w:numPr>
        <w:spacing w:before="0" w:beforeAutospacing="0" w:after="0" w:afterAutospacing="0"/>
        <w:jc w:val="both"/>
        <w:rPr>
          <w:sz w:val="22"/>
          <w:szCs w:val="22"/>
        </w:rPr>
      </w:pPr>
      <w:r w:rsidRPr="00C862C2">
        <w:rPr>
          <w:rStyle w:val="Strong"/>
          <w:b w:val="0"/>
          <w:bCs w:val="0"/>
          <w:sz w:val="22"/>
          <w:szCs w:val="22"/>
        </w:rPr>
        <w:t>Growth (GR)</w:t>
      </w:r>
    </w:p>
    <w:p w14:paraId="4DAA4E00" w14:textId="77777777" w:rsidR="00B74C89" w:rsidRPr="00C862C2" w:rsidRDefault="00B74C89" w:rsidP="00C862C2">
      <w:pPr>
        <w:pStyle w:val="NormalWeb"/>
        <w:numPr>
          <w:ilvl w:val="0"/>
          <w:numId w:val="6"/>
        </w:numPr>
        <w:spacing w:before="0" w:beforeAutospacing="0" w:after="0" w:afterAutospacing="0"/>
        <w:jc w:val="both"/>
        <w:rPr>
          <w:sz w:val="22"/>
          <w:szCs w:val="22"/>
        </w:rPr>
      </w:pPr>
      <w:r w:rsidRPr="00C862C2">
        <w:rPr>
          <w:rStyle w:val="Strong"/>
          <w:b w:val="0"/>
          <w:bCs w:val="0"/>
          <w:sz w:val="22"/>
          <w:szCs w:val="22"/>
        </w:rPr>
        <w:t>Maturity (MAT)</w:t>
      </w:r>
    </w:p>
    <w:p w14:paraId="197F3EE7" w14:textId="77777777" w:rsidR="00B74C89" w:rsidRPr="00C862C2" w:rsidRDefault="00B74C89" w:rsidP="00C862C2">
      <w:pPr>
        <w:pStyle w:val="NormalWeb"/>
        <w:numPr>
          <w:ilvl w:val="0"/>
          <w:numId w:val="6"/>
        </w:numPr>
        <w:spacing w:before="0" w:beforeAutospacing="0" w:after="0" w:afterAutospacing="0"/>
        <w:jc w:val="both"/>
        <w:rPr>
          <w:sz w:val="22"/>
          <w:szCs w:val="22"/>
        </w:rPr>
      </w:pPr>
      <w:r w:rsidRPr="00C862C2">
        <w:rPr>
          <w:rStyle w:val="Strong"/>
          <w:b w:val="0"/>
          <w:bCs w:val="0"/>
          <w:sz w:val="22"/>
          <w:szCs w:val="22"/>
        </w:rPr>
        <w:t>Decline (DEC)</w:t>
      </w:r>
    </w:p>
    <w:p w14:paraId="419CE2C8" w14:textId="77777777" w:rsidR="00D51554" w:rsidRPr="00C862C2" w:rsidRDefault="00B74C89" w:rsidP="00C862C2">
      <w:pPr>
        <w:pStyle w:val="Heading3"/>
        <w:spacing w:before="0" w:beforeAutospacing="0" w:after="0" w:afterAutospacing="0"/>
        <w:jc w:val="both"/>
        <w:rPr>
          <w:b w:val="0"/>
          <w:bCs w:val="0"/>
          <w:sz w:val="22"/>
          <w:szCs w:val="22"/>
          <w:rtl/>
          <w:lang w:bidi="fa-IR"/>
        </w:rPr>
      </w:pPr>
      <w:r w:rsidRPr="00C862C2">
        <w:rPr>
          <w:rStyle w:val="Strong"/>
          <w:sz w:val="22"/>
          <w:szCs w:val="22"/>
        </w:rPr>
        <w:t>Classification Method</w:t>
      </w:r>
    </w:p>
    <w:p w14:paraId="3AB4FBB5" w14:textId="77777777" w:rsidR="00D51554" w:rsidRPr="00C862C2" w:rsidRDefault="00D51554"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Following the procedure adopted by Anthony and Ramesh (1992), as well as Rostami et al. (2021) and Naderi et al. (2021), four variables are employed for this purpose: sales growth (the relative change in a firm’s revenues over two consecutive periods), capital expenditures (the ratio of the net increase in fixed assets during the period to the book value of assets), the dividend payout ratio (the ratio of dividends distributed to earnings per share), and firm age (the number of years between the firm’s listing date on the Tehran Stock Exchange and the year under study). These variables are defined as follows:</w:t>
      </w:r>
    </w:p>
    <w:p w14:paraId="4C291B8E" w14:textId="77777777" w:rsidR="00D51554" w:rsidRPr="00C862C2" w:rsidRDefault="00D51554"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The classification process is carried out as follows:</w:t>
      </w:r>
    </w:p>
    <w:p w14:paraId="6012F764" w14:textId="77777777" w:rsidR="00B74C89" w:rsidRPr="00C862C2" w:rsidRDefault="00B74C89" w:rsidP="00C862C2">
      <w:pPr>
        <w:pStyle w:val="NormalWeb"/>
        <w:numPr>
          <w:ilvl w:val="0"/>
          <w:numId w:val="8"/>
        </w:numPr>
        <w:spacing w:before="0" w:beforeAutospacing="0" w:after="0" w:afterAutospacing="0"/>
        <w:jc w:val="both"/>
        <w:rPr>
          <w:sz w:val="22"/>
          <w:szCs w:val="22"/>
        </w:rPr>
      </w:pPr>
      <w:r w:rsidRPr="00C862C2">
        <w:rPr>
          <w:sz w:val="22"/>
          <w:szCs w:val="22"/>
        </w:rPr>
        <w:t xml:space="preserve">Each of the four indicators is calculated annually for every </w:t>
      </w:r>
      <w:r w:rsidR="00C40EE8" w:rsidRPr="00C862C2">
        <w:rPr>
          <w:sz w:val="22"/>
          <w:szCs w:val="22"/>
        </w:rPr>
        <w:t xml:space="preserve">firm </w:t>
      </w:r>
      <w:r w:rsidRPr="00C862C2">
        <w:rPr>
          <w:sz w:val="22"/>
          <w:szCs w:val="22"/>
        </w:rPr>
        <w:t>year observation.</w:t>
      </w:r>
    </w:p>
    <w:p w14:paraId="52A9AB3E" w14:textId="77777777" w:rsidR="00B74C89" w:rsidRPr="00C862C2" w:rsidRDefault="00B74C89" w:rsidP="00C862C2">
      <w:pPr>
        <w:pStyle w:val="NormalWeb"/>
        <w:numPr>
          <w:ilvl w:val="0"/>
          <w:numId w:val="8"/>
        </w:numPr>
        <w:spacing w:before="0" w:beforeAutospacing="0" w:after="0" w:afterAutospacing="0"/>
        <w:jc w:val="both"/>
        <w:rPr>
          <w:sz w:val="22"/>
          <w:szCs w:val="22"/>
        </w:rPr>
      </w:pPr>
      <w:r w:rsidRPr="00C862C2">
        <w:rPr>
          <w:sz w:val="22"/>
          <w:szCs w:val="22"/>
        </w:rPr>
        <w:t xml:space="preserve">Firms are ranked each year into </w:t>
      </w:r>
      <w:r w:rsidRPr="00C862C2">
        <w:rPr>
          <w:rStyle w:val="Strong"/>
          <w:b w:val="0"/>
          <w:bCs w:val="0"/>
          <w:sz w:val="22"/>
          <w:szCs w:val="22"/>
        </w:rPr>
        <w:t>five quintiles (statistical fifths)</w:t>
      </w:r>
      <w:r w:rsidRPr="00C862C2">
        <w:rPr>
          <w:sz w:val="22"/>
          <w:szCs w:val="22"/>
        </w:rPr>
        <w:t xml:space="preserve"> based on each indicator.</w:t>
      </w:r>
    </w:p>
    <w:p w14:paraId="521B4349" w14:textId="77777777" w:rsidR="00B74C89" w:rsidRPr="00C862C2" w:rsidRDefault="00B74C89" w:rsidP="00C862C2">
      <w:pPr>
        <w:pStyle w:val="NormalWeb"/>
        <w:numPr>
          <w:ilvl w:val="0"/>
          <w:numId w:val="8"/>
        </w:numPr>
        <w:spacing w:before="0" w:beforeAutospacing="0" w:after="0" w:afterAutospacing="0"/>
        <w:jc w:val="both"/>
        <w:rPr>
          <w:sz w:val="22"/>
          <w:szCs w:val="22"/>
        </w:rPr>
      </w:pPr>
      <w:r w:rsidRPr="00C862C2">
        <w:rPr>
          <w:sz w:val="22"/>
          <w:szCs w:val="22"/>
        </w:rPr>
        <w:t xml:space="preserve">A score ranging from </w:t>
      </w:r>
      <w:r w:rsidRPr="00C862C2">
        <w:rPr>
          <w:rStyle w:val="Strong"/>
          <w:b w:val="0"/>
          <w:bCs w:val="0"/>
          <w:sz w:val="22"/>
          <w:szCs w:val="22"/>
        </w:rPr>
        <w:t>1 to 5</w:t>
      </w:r>
      <w:r w:rsidR="00C40EE8" w:rsidRPr="00C862C2">
        <w:rPr>
          <w:sz w:val="22"/>
          <w:szCs w:val="22"/>
        </w:rPr>
        <w:t xml:space="preserve"> is assigned to each firm </w:t>
      </w:r>
      <w:r w:rsidRPr="00C862C2">
        <w:rPr>
          <w:sz w:val="22"/>
          <w:szCs w:val="22"/>
        </w:rPr>
        <w:t xml:space="preserve">year based on its respective quintile placement, following the scoring system presented in </w:t>
      </w:r>
      <w:r w:rsidRPr="00C862C2">
        <w:rPr>
          <w:rStyle w:val="Strong"/>
          <w:b w:val="0"/>
          <w:bCs w:val="0"/>
          <w:sz w:val="22"/>
          <w:szCs w:val="22"/>
        </w:rPr>
        <w:t>Table 2</w:t>
      </w:r>
      <w:r w:rsidRPr="00C862C2">
        <w:rPr>
          <w:sz w:val="22"/>
          <w:szCs w:val="22"/>
        </w:rPr>
        <w:t>.</w:t>
      </w:r>
    </w:p>
    <w:p w14:paraId="7AF13895" w14:textId="77777777" w:rsidR="00B74C89" w:rsidRPr="00C862C2" w:rsidRDefault="00B74C89" w:rsidP="00C862C2">
      <w:pPr>
        <w:pStyle w:val="NormalWeb"/>
        <w:numPr>
          <w:ilvl w:val="0"/>
          <w:numId w:val="8"/>
        </w:numPr>
        <w:spacing w:before="0" w:beforeAutospacing="0" w:after="0" w:afterAutospacing="0"/>
        <w:jc w:val="both"/>
        <w:rPr>
          <w:sz w:val="22"/>
          <w:szCs w:val="22"/>
        </w:rPr>
      </w:pPr>
      <w:r w:rsidRPr="00C862C2">
        <w:rPr>
          <w:sz w:val="22"/>
          <w:szCs w:val="22"/>
        </w:rPr>
        <w:t xml:space="preserve">A </w:t>
      </w:r>
      <w:r w:rsidRPr="00C862C2">
        <w:rPr>
          <w:rStyle w:val="Strong"/>
          <w:b w:val="0"/>
          <w:bCs w:val="0"/>
          <w:sz w:val="22"/>
          <w:szCs w:val="22"/>
        </w:rPr>
        <w:t>composite score</w:t>
      </w:r>
      <w:r w:rsidRPr="00C862C2">
        <w:rPr>
          <w:sz w:val="22"/>
          <w:szCs w:val="22"/>
        </w:rPr>
        <w:t xml:space="preserve"> is then computed by summing the four </w:t>
      </w:r>
      <w:r w:rsidR="00C40EE8" w:rsidRPr="00C862C2">
        <w:rPr>
          <w:sz w:val="22"/>
          <w:szCs w:val="22"/>
        </w:rPr>
        <w:t xml:space="preserve">indicator scores for every firm </w:t>
      </w:r>
      <w:r w:rsidRPr="00C862C2">
        <w:rPr>
          <w:sz w:val="22"/>
          <w:szCs w:val="22"/>
        </w:rPr>
        <w:t>year.</w:t>
      </w:r>
    </w:p>
    <w:p w14:paraId="1314B001" w14:textId="77777777" w:rsidR="00B74C89" w:rsidRPr="00C862C2" w:rsidRDefault="00B74C89" w:rsidP="00C862C2">
      <w:pPr>
        <w:pStyle w:val="NormalWeb"/>
        <w:numPr>
          <w:ilvl w:val="0"/>
          <w:numId w:val="8"/>
        </w:numPr>
        <w:spacing w:before="0" w:beforeAutospacing="0" w:after="0" w:afterAutospacing="0"/>
        <w:jc w:val="both"/>
        <w:rPr>
          <w:sz w:val="22"/>
          <w:szCs w:val="22"/>
        </w:rPr>
      </w:pPr>
      <w:r w:rsidRPr="00C862C2">
        <w:rPr>
          <w:sz w:val="22"/>
          <w:szCs w:val="22"/>
        </w:rPr>
        <w:t>Firms are categorized into life cycle stages based on the composite score according to the following thresholds:</w:t>
      </w:r>
    </w:p>
    <w:p w14:paraId="1BB0E437" w14:textId="77777777" w:rsidR="00C23EBF" w:rsidRPr="00C862C2" w:rsidRDefault="00C23EBF" w:rsidP="00C862C2">
      <w:pPr>
        <w:pStyle w:val="NormalWeb"/>
        <w:numPr>
          <w:ilvl w:val="0"/>
          <w:numId w:val="12"/>
        </w:numPr>
        <w:spacing w:before="0" w:beforeAutospacing="0" w:after="0" w:afterAutospacing="0"/>
        <w:jc w:val="both"/>
        <w:rPr>
          <w:sz w:val="22"/>
          <w:szCs w:val="22"/>
        </w:rPr>
      </w:pPr>
      <w:r w:rsidRPr="00C862C2">
        <w:rPr>
          <w:sz w:val="22"/>
          <w:szCs w:val="22"/>
        </w:rPr>
        <w:t>If the total score is between 16 and 20, it is in the growth stage (GR).</w:t>
      </w:r>
    </w:p>
    <w:p w14:paraId="6C2FE141" w14:textId="77777777" w:rsidR="00C23EBF" w:rsidRPr="00C862C2" w:rsidRDefault="00C23EBF" w:rsidP="00C862C2">
      <w:pPr>
        <w:pStyle w:val="NormalWeb"/>
        <w:numPr>
          <w:ilvl w:val="0"/>
          <w:numId w:val="12"/>
        </w:numPr>
        <w:spacing w:before="0" w:beforeAutospacing="0" w:after="0" w:afterAutospacing="0"/>
        <w:jc w:val="both"/>
        <w:rPr>
          <w:sz w:val="22"/>
          <w:szCs w:val="22"/>
        </w:rPr>
      </w:pPr>
      <w:r w:rsidRPr="00C862C2">
        <w:rPr>
          <w:sz w:val="22"/>
          <w:szCs w:val="22"/>
        </w:rPr>
        <w:t>If the total score is between 9 and 15, it is in the maturity stage (MAT).</w:t>
      </w:r>
    </w:p>
    <w:p w14:paraId="03E15B33" w14:textId="77777777" w:rsidR="00C23EBF" w:rsidRPr="00C862C2" w:rsidRDefault="00C23EBF" w:rsidP="00C862C2">
      <w:pPr>
        <w:pStyle w:val="NormalWeb"/>
        <w:numPr>
          <w:ilvl w:val="0"/>
          <w:numId w:val="12"/>
        </w:numPr>
        <w:spacing w:before="0" w:beforeAutospacing="0" w:after="0" w:afterAutospacing="0"/>
        <w:jc w:val="both"/>
        <w:rPr>
          <w:sz w:val="22"/>
          <w:szCs w:val="22"/>
        </w:rPr>
      </w:pPr>
      <w:r w:rsidRPr="00C862C2">
        <w:rPr>
          <w:sz w:val="22"/>
          <w:szCs w:val="22"/>
        </w:rPr>
        <w:t>If the total score is between 4 and 8, it is in the decline stage (DEC).</w:t>
      </w:r>
    </w:p>
    <w:p w14:paraId="77746C3F" w14:textId="77777777" w:rsidR="00B74C89" w:rsidRPr="00C862C2" w:rsidRDefault="00B74C89" w:rsidP="00C862C2">
      <w:pPr>
        <w:pStyle w:val="NormalWeb"/>
        <w:spacing w:before="0" w:beforeAutospacing="0" w:after="0" w:afterAutospacing="0"/>
        <w:jc w:val="both"/>
        <w:rPr>
          <w:sz w:val="22"/>
          <w:szCs w:val="22"/>
        </w:rPr>
      </w:pPr>
      <w:r w:rsidRPr="00C862C2">
        <w:rPr>
          <w:sz w:val="22"/>
          <w:szCs w:val="22"/>
        </w:rPr>
        <w:t xml:space="preserve">These classifications are summarized in </w:t>
      </w:r>
      <w:r w:rsidRPr="00C862C2">
        <w:rPr>
          <w:rStyle w:val="Strong"/>
          <w:b w:val="0"/>
          <w:bCs w:val="0"/>
          <w:sz w:val="22"/>
          <w:szCs w:val="22"/>
        </w:rPr>
        <w:t>Table 2</w:t>
      </w:r>
      <w:r w:rsidRPr="00C862C2">
        <w:rPr>
          <w:sz w:val="22"/>
          <w:szCs w:val="22"/>
        </w:rPr>
        <w:t>.</w:t>
      </w:r>
    </w:p>
    <w:p w14:paraId="3BBD3BC8" w14:textId="77777777" w:rsidR="00146D68" w:rsidRPr="00C862C2" w:rsidRDefault="00146D68" w:rsidP="00C862C2">
      <w:pPr>
        <w:spacing w:after="0" w:line="240" w:lineRule="auto"/>
        <w:jc w:val="both"/>
        <w:rPr>
          <w:rFonts w:ascii="Times New Roman" w:hAnsi="Times New Roman" w:cs="Times New Roman"/>
          <w:b/>
          <w:bCs/>
        </w:rPr>
      </w:pPr>
    </w:p>
    <w:p w14:paraId="60C0EF08" w14:textId="12BB6FD0" w:rsidR="00146D68" w:rsidRPr="00C862C2" w:rsidRDefault="00146D68" w:rsidP="00C862C2">
      <w:pPr>
        <w:spacing w:after="0" w:line="240" w:lineRule="auto"/>
        <w:jc w:val="both"/>
        <w:rPr>
          <w:rFonts w:ascii="Times New Roman" w:hAnsi="Times New Roman" w:cs="Times New Roman"/>
        </w:rPr>
      </w:pPr>
      <w:r w:rsidRPr="00C862C2">
        <w:rPr>
          <w:rFonts w:ascii="Times New Roman" w:hAnsi="Times New Roman" w:cs="Times New Roman"/>
          <w:b/>
          <w:bCs/>
        </w:rPr>
        <w:t>Table 2.</w:t>
      </w:r>
      <w:r w:rsidRPr="00C862C2">
        <w:rPr>
          <w:rFonts w:ascii="Times New Roman" w:hAnsi="Times New Roman" w:cs="Times New Roman"/>
        </w:rPr>
        <w:t xml:space="preserve"> These criteria are presented</w:t>
      </w:r>
    </w:p>
    <w:tbl>
      <w:tblPr>
        <w:tblStyle w:val="TableGrid"/>
        <w:bidiVisual/>
        <w:tblW w:w="0" w:type="auto"/>
        <w:tblLook w:val="04A0" w:firstRow="1" w:lastRow="0" w:firstColumn="1" w:lastColumn="0" w:noHBand="0" w:noVBand="1"/>
      </w:tblPr>
      <w:tblGrid>
        <w:gridCol w:w="1867"/>
        <w:gridCol w:w="1843"/>
        <w:gridCol w:w="1842"/>
        <w:gridCol w:w="1701"/>
        <w:gridCol w:w="1546"/>
      </w:tblGrid>
      <w:tr w:rsidR="00146D68" w:rsidRPr="00C862C2" w14:paraId="313B51A7" w14:textId="77777777" w:rsidTr="00146D68">
        <w:tc>
          <w:tcPr>
            <w:tcW w:w="1867" w:type="dxa"/>
            <w:vAlign w:val="center"/>
          </w:tcPr>
          <w:p w14:paraId="63FC659B" w14:textId="468106E5" w:rsidR="00146D68" w:rsidRPr="00C862C2" w:rsidRDefault="00146D68" w:rsidP="00C862C2">
            <w:pPr>
              <w:rPr>
                <w:rFonts w:ascii="Times New Roman" w:hAnsi="Times New Roman" w:cs="Times New Roman"/>
                <w:rtl/>
              </w:rPr>
            </w:pPr>
            <w:r w:rsidRPr="00C862C2">
              <w:rPr>
                <w:rFonts w:ascii="Times New Roman" w:hAnsi="Times New Roman" w:cs="Times New Roman"/>
              </w:rPr>
              <w:t>Dividend Payout Ratio (DPR)</w:t>
            </w:r>
          </w:p>
        </w:tc>
        <w:tc>
          <w:tcPr>
            <w:tcW w:w="1843" w:type="dxa"/>
            <w:vAlign w:val="center"/>
          </w:tcPr>
          <w:p w14:paraId="77D2E0E8" w14:textId="501CCFA2" w:rsidR="00146D68" w:rsidRPr="00C862C2" w:rsidRDefault="00146D68" w:rsidP="00C862C2">
            <w:pPr>
              <w:rPr>
                <w:rFonts w:ascii="Times New Roman" w:hAnsi="Times New Roman" w:cs="Times New Roman"/>
                <w:rtl/>
              </w:rPr>
            </w:pPr>
            <w:r w:rsidRPr="00C862C2">
              <w:rPr>
                <w:rFonts w:ascii="Times New Roman" w:hAnsi="Times New Roman" w:cs="Times New Roman"/>
              </w:rPr>
              <w:t>Capital Expenditure (CE)</w:t>
            </w:r>
          </w:p>
        </w:tc>
        <w:tc>
          <w:tcPr>
            <w:tcW w:w="1842" w:type="dxa"/>
            <w:vAlign w:val="center"/>
          </w:tcPr>
          <w:p w14:paraId="609A463E" w14:textId="6C308E09" w:rsidR="00146D68" w:rsidRPr="00C862C2" w:rsidRDefault="00146D68" w:rsidP="00C862C2">
            <w:pPr>
              <w:rPr>
                <w:rFonts w:ascii="Times New Roman" w:hAnsi="Times New Roman" w:cs="Times New Roman"/>
                <w:rtl/>
              </w:rPr>
            </w:pPr>
            <w:r w:rsidRPr="00C862C2">
              <w:rPr>
                <w:rFonts w:ascii="Times New Roman" w:hAnsi="Times New Roman" w:cs="Times New Roman"/>
              </w:rPr>
              <w:t>Sales Growth (SG)</w:t>
            </w:r>
          </w:p>
        </w:tc>
        <w:tc>
          <w:tcPr>
            <w:tcW w:w="1701" w:type="dxa"/>
            <w:vAlign w:val="center"/>
          </w:tcPr>
          <w:p w14:paraId="58EC43B1" w14:textId="77777777" w:rsidR="00146D68" w:rsidRPr="00C862C2" w:rsidRDefault="00146D68" w:rsidP="00C862C2">
            <w:pPr>
              <w:rPr>
                <w:rFonts w:ascii="Times New Roman" w:hAnsi="Times New Roman" w:cs="Times New Roman"/>
                <w:vanish/>
              </w:rPr>
            </w:pPr>
          </w:p>
          <w:p w14:paraId="71785D13" w14:textId="25DDF5C0" w:rsidR="00146D68" w:rsidRPr="00C862C2" w:rsidRDefault="00146D68" w:rsidP="00C862C2">
            <w:pPr>
              <w:rPr>
                <w:rFonts w:ascii="Times New Roman" w:hAnsi="Times New Roman" w:cs="Times New Roman"/>
                <w:rtl/>
              </w:rPr>
            </w:pPr>
            <w:r w:rsidRPr="00C862C2">
              <w:rPr>
                <w:rFonts w:ascii="Times New Roman" w:hAnsi="Times New Roman" w:cs="Times New Roman"/>
              </w:rPr>
              <w:t>Company Age (AGE)</w:t>
            </w:r>
          </w:p>
        </w:tc>
        <w:tc>
          <w:tcPr>
            <w:tcW w:w="1546" w:type="dxa"/>
            <w:vAlign w:val="center"/>
          </w:tcPr>
          <w:p w14:paraId="319788B5" w14:textId="77777777" w:rsidR="00146D68" w:rsidRPr="00C862C2" w:rsidRDefault="00146D68" w:rsidP="00C862C2">
            <w:pPr>
              <w:rPr>
                <w:rFonts w:ascii="Times New Roman" w:hAnsi="Times New Roman" w:cs="Times New Roman"/>
              </w:rPr>
            </w:pPr>
          </w:p>
          <w:p w14:paraId="1D644353"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Rank</w:t>
            </w:r>
          </w:p>
          <w:p w14:paraId="2A778A24" w14:textId="77777777" w:rsidR="00146D68" w:rsidRPr="00C862C2" w:rsidRDefault="00146D68" w:rsidP="00C862C2">
            <w:pPr>
              <w:rPr>
                <w:rFonts w:ascii="Times New Roman" w:hAnsi="Times New Roman" w:cs="Times New Roman"/>
                <w:rtl/>
              </w:rPr>
            </w:pPr>
          </w:p>
          <w:p w14:paraId="46FB4964" w14:textId="48CEB18E" w:rsidR="00146D68" w:rsidRPr="00C862C2" w:rsidRDefault="00146D68" w:rsidP="00C862C2">
            <w:pPr>
              <w:rPr>
                <w:rFonts w:ascii="Times New Roman" w:hAnsi="Times New Roman" w:cs="Times New Roman"/>
                <w:rtl/>
              </w:rPr>
            </w:pPr>
          </w:p>
        </w:tc>
      </w:tr>
      <w:tr w:rsidR="00146D68" w:rsidRPr="00C862C2" w14:paraId="3503F5B8" w14:textId="77777777" w:rsidTr="00146D68">
        <w:tc>
          <w:tcPr>
            <w:tcW w:w="1867" w:type="dxa"/>
            <w:vAlign w:val="center"/>
          </w:tcPr>
          <w:p w14:paraId="4BB842B8"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5</w:t>
            </w:r>
          </w:p>
        </w:tc>
        <w:tc>
          <w:tcPr>
            <w:tcW w:w="1843" w:type="dxa"/>
            <w:vAlign w:val="center"/>
          </w:tcPr>
          <w:p w14:paraId="76E45885"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1</w:t>
            </w:r>
          </w:p>
        </w:tc>
        <w:tc>
          <w:tcPr>
            <w:tcW w:w="1842" w:type="dxa"/>
            <w:vAlign w:val="center"/>
          </w:tcPr>
          <w:p w14:paraId="3124D1B1" w14:textId="77777777" w:rsidR="00146D68" w:rsidRPr="00C862C2" w:rsidRDefault="00146D68" w:rsidP="00C862C2">
            <w:pPr>
              <w:tabs>
                <w:tab w:val="center" w:pos="643"/>
                <w:tab w:val="right" w:pos="1287"/>
              </w:tabs>
              <w:rPr>
                <w:rFonts w:ascii="Times New Roman" w:hAnsi="Times New Roman" w:cs="Times New Roman"/>
              </w:rPr>
            </w:pPr>
            <w:r w:rsidRPr="00C862C2">
              <w:rPr>
                <w:rFonts w:ascii="Times New Roman" w:hAnsi="Times New Roman" w:cs="Times New Roman"/>
              </w:rPr>
              <w:t>1</w:t>
            </w:r>
          </w:p>
        </w:tc>
        <w:tc>
          <w:tcPr>
            <w:tcW w:w="1701" w:type="dxa"/>
            <w:vAlign w:val="center"/>
          </w:tcPr>
          <w:p w14:paraId="6C8D3203"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5</w:t>
            </w:r>
          </w:p>
        </w:tc>
        <w:tc>
          <w:tcPr>
            <w:tcW w:w="1546" w:type="dxa"/>
            <w:vAlign w:val="center"/>
          </w:tcPr>
          <w:p w14:paraId="7FC49E90"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First</w:t>
            </w:r>
          </w:p>
        </w:tc>
      </w:tr>
      <w:tr w:rsidR="00146D68" w:rsidRPr="00C862C2" w14:paraId="7524988F" w14:textId="77777777" w:rsidTr="00146D68">
        <w:tc>
          <w:tcPr>
            <w:tcW w:w="1867" w:type="dxa"/>
            <w:vAlign w:val="center"/>
          </w:tcPr>
          <w:p w14:paraId="73F673F9"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4</w:t>
            </w:r>
          </w:p>
        </w:tc>
        <w:tc>
          <w:tcPr>
            <w:tcW w:w="1843" w:type="dxa"/>
            <w:vAlign w:val="center"/>
          </w:tcPr>
          <w:p w14:paraId="50CC1962"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2</w:t>
            </w:r>
          </w:p>
        </w:tc>
        <w:tc>
          <w:tcPr>
            <w:tcW w:w="1842" w:type="dxa"/>
            <w:vAlign w:val="center"/>
          </w:tcPr>
          <w:p w14:paraId="40F69D3E"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2</w:t>
            </w:r>
          </w:p>
        </w:tc>
        <w:tc>
          <w:tcPr>
            <w:tcW w:w="1701" w:type="dxa"/>
            <w:vAlign w:val="center"/>
          </w:tcPr>
          <w:p w14:paraId="4FFB28CB"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4</w:t>
            </w:r>
          </w:p>
        </w:tc>
        <w:tc>
          <w:tcPr>
            <w:tcW w:w="1546" w:type="dxa"/>
            <w:vAlign w:val="center"/>
          </w:tcPr>
          <w:p w14:paraId="7158C258"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Second</w:t>
            </w:r>
          </w:p>
        </w:tc>
      </w:tr>
      <w:tr w:rsidR="00146D68" w:rsidRPr="00C862C2" w14:paraId="46A8AD65" w14:textId="77777777" w:rsidTr="00146D68">
        <w:tc>
          <w:tcPr>
            <w:tcW w:w="1867" w:type="dxa"/>
            <w:vAlign w:val="center"/>
          </w:tcPr>
          <w:p w14:paraId="17FDAA0D"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3</w:t>
            </w:r>
          </w:p>
        </w:tc>
        <w:tc>
          <w:tcPr>
            <w:tcW w:w="1843" w:type="dxa"/>
            <w:vAlign w:val="center"/>
          </w:tcPr>
          <w:p w14:paraId="79717130"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3</w:t>
            </w:r>
          </w:p>
        </w:tc>
        <w:tc>
          <w:tcPr>
            <w:tcW w:w="1842" w:type="dxa"/>
            <w:vAlign w:val="center"/>
          </w:tcPr>
          <w:p w14:paraId="10102EAF"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3</w:t>
            </w:r>
          </w:p>
        </w:tc>
        <w:tc>
          <w:tcPr>
            <w:tcW w:w="1701" w:type="dxa"/>
            <w:vAlign w:val="center"/>
          </w:tcPr>
          <w:p w14:paraId="57DBA6F2"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3</w:t>
            </w:r>
          </w:p>
        </w:tc>
        <w:tc>
          <w:tcPr>
            <w:tcW w:w="1546" w:type="dxa"/>
            <w:vAlign w:val="center"/>
          </w:tcPr>
          <w:p w14:paraId="20A074AC"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Third</w:t>
            </w:r>
          </w:p>
        </w:tc>
      </w:tr>
      <w:tr w:rsidR="00146D68" w:rsidRPr="00C862C2" w14:paraId="3622F517" w14:textId="77777777" w:rsidTr="00146D68">
        <w:tc>
          <w:tcPr>
            <w:tcW w:w="1867" w:type="dxa"/>
            <w:vAlign w:val="center"/>
          </w:tcPr>
          <w:p w14:paraId="5010DD66"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2</w:t>
            </w:r>
          </w:p>
        </w:tc>
        <w:tc>
          <w:tcPr>
            <w:tcW w:w="1843" w:type="dxa"/>
            <w:vAlign w:val="center"/>
          </w:tcPr>
          <w:p w14:paraId="320A6680"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4</w:t>
            </w:r>
          </w:p>
        </w:tc>
        <w:tc>
          <w:tcPr>
            <w:tcW w:w="1842" w:type="dxa"/>
            <w:vAlign w:val="center"/>
          </w:tcPr>
          <w:p w14:paraId="540B0B2C"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4</w:t>
            </w:r>
          </w:p>
        </w:tc>
        <w:tc>
          <w:tcPr>
            <w:tcW w:w="1701" w:type="dxa"/>
            <w:vAlign w:val="center"/>
          </w:tcPr>
          <w:p w14:paraId="46B88C8C"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2</w:t>
            </w:r>
          </w:p>
        </w:tc>
        <w:tc>
          <w:tcPr>
            <w:tcW w:w="1546" w:type="dxa"/>
            <w:vAlign w:val="center"/>
          </w:tcPr>
          <w:p w14:paraId="30F4B07A"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Fourth</w:t>
            </w:r>
          </w:p>
        </w:tc>
      </w:tr>
      <w:tr w:rsidR="00146D68" w:rsidRPr="00C862C2" w14:paraId="756D9C69" w14:textId="77777777" w:rsidTr="00146D68">
        <w:tc>
          <w:tcPr>
            <w:tcW w:w="1867" w:type="dxa"/>
            <w:vAlign w:val="center"/>
          </w:tcPr>
          <w:p w14:paraId="762132BE"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1</w:t>
            </w:r>
          </w:p>
        </w:tc>
        <w:tc>
          <w:tcPr>
            <w:tcW w:w="1843" w:type="dxa"/>
            <w:vAlign w:val="center"/>
          </w:tcPr>
          <w:p w14:paraId="72A4967C"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5</w:t>
            </w:r>
          </w:p>
        </w:tc>
        <w:tc>
          <w:tcPr>
            <w:tcW w:w="1842" w:type="dxa"/>
            <w:vAlign w:val="center"/>
          </w:tcPr>
          <w:p w14:paraId="2F2E0FCE"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5</w:t>
            </w:r>
          </w:p>
        </w:tc>
        <w:tc>
          <w:tcPr>
            <w:tcW w:w="1701" w:type="dxa"/>
            <w:vAlign w:val="center"/>
          </w:tcPr>
          <w:p w14:paraId="152115F3"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1</w:t>
            </w:r>
          </w:p>
        </w:tc>
        <w:tc>
          <w:tcPr>
            <w:tcW w:w="1546" w:type="dxa"/>
            <w:vAlign w:val="center"/>
          </w:tcPr>
          <w:p w14:paraId="3153C306"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Fifth</w:t>
            </w:r>
          </w:p>
        </w:tc>
      </w:tr>
    </w:tbl>
    <w:p w14:paraId="3AE79914" w14:textId="77777777" w:rsidR="00146D68" w:rsidRPr="00C862C2" w:rsidRDefault="00146D68" w:rsidP="00C862C2">
      <w:pPr>
        <w:spacing w:after="0" w:line="240" w:lineRule="auto"/>
        <w:jc w:val="both"/>
        <w:rPr>
          <w:rFonts w:ascii="Times New Roman" w:hAnsi="Times New Roman" w:cs="Times New Roman"/>
        </w:rPr>
      </w:pPr>
    </w:p>
    <w:p w14:paraId="16451E02" w14:textId="77777777" w:rsidR="00B74C89" w:rsidRDefault="00B74C89"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In Models (1) and (2), the variable FLC is replaced by the three distinct sta</w:t>
      </w:r>
      <w:r w:rsidR="00C40EE8" w:rsidRPr="00C862C2">
        <w:rPr>
          <w:rFonts w:ascii="Times New Roman" w:eastAsia="Times New Roman" w:hAnsi="Times New Roman" w:cs="Times New Roman"/>
        </w:rPr>
        <w:t xml:space="preserve">ges of the corporate life cycle </w:t>
      </w:r>
      <w:r w:rsidRPr="00C862C2">
        <w:rPr>
          <w:rFonts w:ascii="Times New Roman" w:eastAsia="Times New Roman" w:hAnsi="Times New Roman" w:cs="Times New Roman"/>
        </w:rPr>
        <w:t>Growth, Maturity, and Decline, respectively. Accordingly, each model is estimated three times, once for each life-cycle stage.</w:t>
      </w:r>
    </w:p>
    <w:p w14:paraId="64EC1267" w14:textId="77777777" w:rsidR="00C862C2" w:rsidRPr="00C862C2" w:rsidRDefault="00C862C2" w:rsidP="00C862C2">
      <w:pPr>
        <w:spacing w:after="0" w:line="240" w:lineRule="auto"/>
        <w:jc w:val="both"/>
        <w:rPr>
          <w:rFonts w:ascii="Times New Roman" w:eastAsia="Times New Roman" w:hAnsi="Times New Roman" w:cs="Times New Roman"/>
        </w:rPr>
      </w:pPr>
    </w:p>
    <w:p w14:paraId="749CF4CF" w14:textId="77777777" w:rsidR="00B74C89" w:rsidRPr="00C862C2" w:rsidRDefault="00214CA4" w:rsidP="00C862C2">
      <w:pPr>
        <w:spacing w:after="0" w:line="240" w:lineRule="auto"/>
        <w:jc w:val="both"/>
        <w:outlineLvl w:val="3"/>
        <w:rPr>
          <w:rFonts w:ascii="Times New Roman" w:eastAsia="Times New Roman" w:hAnsi="Times New Roman" w:cs="Times New Roman"/>
          <w:b/>
          <w:bCs/>
        </w:rPr>
      </w:pPr>
      <w:r w:rsidRPr="00C862C2">
        <w:rPr>
          <w:rFonts w:ascii="Times New Roman" w:eastAsia="Times New Roman" w:hAnsi="Times New Roman" w:cs="Times New Roman"/>
          <w:b/>
          <w:bCs/>
        </w:rPr>
        <w:t xml:space="preserve">3.2.3 </w:t>
      </w:r>
      <w:r w:rsidR="00B74C89" w:rsidRPr="00C862C2">
        <w:rPr>
          <w:rFonts w:ascii="Times New Roman" w:eastAsia="Times New Roman" w:hAnsi="Times New Roman" w:cs="Times New Roman"/>
          <w:b/>
          <w:bCs/>
        </w:rPr>
        <w:t>Control Variables</w:t>
      </w:r>
    </w:p>
    <w:p w14:paraId="4468B158" w14:textId="77777777" w:rsidR="002758BC" w:rsidRDefault="002758BC"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To ensure robustness, several control variables are included based on prior literature (Xie et al., 2022; Atif et al., 2022; Shah et al., 2021; Masoumi et al., 2018). These variables are defined as follows:</w:t>
      </w:r>
    </w:p>
    <w:p w14:paraId="1C6FB5CC" w14:textId="77777777" w:rsidR="00C862C2" w:rsidRPr="00C862C2" w:rsidRDefault="00C862C2" w:rsidP="00C862C2">
      <w:pPr>
        <w:spacing w:after="0" w:line="240" w:lineRule="auto"/>
        <w:jc w:val="both"/>
        <w:rPr>
          <w:rFonts w:ascii="Times New Roman" w:eastAsia="Times New Roman" w:hAnsi="Times New Roman" w:cs="Times New Roman"/>
        </w:rPr>
      </w:pPr>
    </w:p>
    <w:p w14:paraId="7F685874" w14:textId="5378C97F" w:rsidR="002758BC" w:rsidRPr="00C862C2" w:rsidRDefault="002758BC"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b/>
          <w:bCs/>
        </w:rPr>
        <w:t>a) Firm Size (SIZE):</w:t>
      </w:r>
      <w:r w:rsidRPr="00C862C2">
        <w:rPr>
          <w:rFonts w:ascii="Times New Roman" w:eastAsia="Times New Roman" w:hAnsi="Times New Roman" w:cs="Times New Roman"/>
        </w:rPr>
        <w:t xml:space="preserve"> Natural logarithm of total assets.</w:t>
      </w:r>
      <w:r w:rsidR="00430839" w:rsidRPr="00C862C2">
        <w:rPr>
          <w:rFonts w:ascii="Times New Roman" w:eastAsia="Times New Roman" w:hAnsi="Times New Roman" w:cs="Times New Roman"/>
        </w:rPr>
        <w:t xml:space="preserve"> </w:t>
      </w:r>
      <w:r w:rsidRPr="00C862C2">
        <w:rPr>
          <w:rFonts w:ascii="Times New Roman" w:eastAsia="Times New Roman" w:hAnsi="Times New Roman" w:cs="Times New Roman"/>
        </w:rPr>
        <w:t>Larger firms may report more conservative earnings due to political costs, but the aggregation effect and information asymmetry hypothesis suggest lower conservatism in larger firms (</w:t>
      </w:r>
      <w:proofErr w:type="spellStart"/>
      <w:r w:rsidRPr="00C862C2">
        <w:rPr>
          <w:rFonts w:ascii="Times New Roman" w:eastAsia="Times New Roman" w:hAnsi="Times New Roman" w:cs="Times New Roman"/>
        </w:rPr>
        <w:t>Nakhaei</w:t>
      </w:r>
      <w:proofErr w:type="spellEnd"/>
      <w:r w:rsidRPr="00C862C2">
        <w:rPr>
          <w:rFonts w:ascii="Times New Roman" w:eastAsia="Times New Roman" w:hAnsi="Times New Roman" w:cs="Times New Roman"/>
        </w:rPr>
        <w:t xml:space="preserve"> &amp; </w:t>
      </w:r>
      <w:proofErr w:type="spellStart"/>
      <w:r w:rsidRPr="00C862C2">
        <w:rPr>
          <w:rFonts w:ascii="Times New Roman" w:eastAsia="Times New Roman" w:hAnsi="Times New Roman" w:cs="Times New Roman"/>
        </w:rPr>
        <w:t>Bandanipour</w:t>
      </w:r>
      <w:proofErr w:type="spellEnd"/>
      <w:r w:rsidRPr="00C862C2">
        <w:rPr>
          <w:rFonts w:ascii="Times New Roman" w:eastAsia="Times New Roman" w:hAnsi="Times New Roman" w:cs="Times New Roman"/>
        </w:rPr>
        <w:t>, 2020). Firm size also positively affects financial reporting quality and environmental disclosure (Mahdavi et al., 2015; Hayati et al., 2018).</w:t>
      </w:r>
    </w:p>
    <w:p w14:paraId="61165206" w14:textId="62392A85" w:rsidR="002758BC" w:rsidRDefault="002758BC"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b/>
          <w:bCs/>
        </w:rPr>
        <w:t>b) Financial Leverage (LEV):</w:t>
      </w:r>
      <w:r w:rsidRPr="00C862C2">
        <w:rPr>
          <w:rFonts w:ascii="Times New Roman" w:eastAsia="Times New Roman" w:hAnsi="Times New Roman" w:cs="Times New Roman"/>
        </w:rPr>
        <w:t xml:space="preserve"> Ratio of total book liabilities to total assets.</w:t>
      </w:r>
      <w:r w:rsidR="00430839" w:rsidRPr="00C862C2">
        <w:rPr>
          <w:rFonts w:ascii="Times New Roman" w:eastAsia="Times New Roman" w:hAnsi="Times New Roman" w:cs="Times New Roman"/>
        </w:rPr>
        <w:t xml:space="preserve"> </w:t>
      </w:r>
      <w:r w:rsidRPr="00C862C2">
        <w:rPr>
          <w:rFonts w:ascii="Times New Roman" w:eastAsia="Times New Roman" w:hAnsi="Times New Roman" w:cs="Times New Roman"/>
        </w:rPr>
        <w:t>Financing constraints influence conservatism, as managers may reduce conservatism when needing financial resources (</w:t>
      </w:r>
      <w:proofErr w:type="spellStart"/>
      <w:r w:rsidRPr="00C862C2">
        <w:rPr>
          <w:rFonts w:ascii="Times New Roman" w:eastAsia="Times New Roman" w:hAnsi="Times New Roman" w:cs="Times New Roman"/>
        </w:rPr>
        <w:t>Tariverdi</w:t>
      </w:r>
      <w:proofErr w:type="spellEnd"/>
      <w:r w:rsidRPr="00C862C2">
        <w:rPr>
          <w:rFonts w:ascii="Times New Roman" w:eastAsia="Times New Roman" w:hAnsi="Times New Roman" w:cs="Times New Roman"/>
        </w:rPr>
        <w:t xml:space="preserve"> &amp; </w:t>
      </w:r>
      <w:proofErr w:type="spellStart"/>
      <w:r w:rsidRPr="00C862C2">
        <w:rPr>
          <w:rFonts w:ascii="Times New Roman" w:eastAsia="Times New Roman" w:hAnsi="Times New Roman" w:cs="Times New Roman"/>
        </w:rPr>
        <w:t>Emadian</w:t>
      </w:r>
      <w:proofErr w:type="spellEnd"/>
      <w:r w:rsidRPr="00C862C2">
        <w:rPr>
          <w:rFonts w:ascii="Times New Roman" w:eastAsia="Times New Roman" w:hAnsi="Times New Roman" w:cs="Times New Roman"/>
        </w:rPr>
        <w:t xml:space="preserve">, 2021; </w:t>
      </w:r>
      <w:proofErr w:type="spellStart"/>
      <w:r w:rsidRPr="00C862C2">
        <w:rPr>
          <w:rFonts w:ascii="Times New Roman" w:eastAsia="Times New Roman" w:hAnsi="Times New Roman" w:cs="Times New Roman"/>
        </w:rPr>
        <w:t>Abdolkarimi</w:t>
      </w:r>
      <w:proofErr w:type="spellEnd"/>
      <w:r w:rsidRPr="00C862C2">
        <w:rPr>
          <w:rFonts w:ascii="Times New Roman" w:eastAsia="Times New Roman" w:hAnsi="Times New Roman" w:cs="Times New Roman"/>
        </w:rPr>
        <w:t xml:space="preserve"> et al., 2025). Highly leveraged firms face greater agency costs and require monitoring, linking leverage to reporting quality and environmental disclosure (Leftwich et al., 1981; Smith &amp; Warner, 1979; Leftwich, 1980; Azadpour et al., 2017).</w:t>
      </w:r>
    </w:p>
    <w:p w14:paraId="3F2186A3" w14:textId="77777777" w:rsidR="00C862C2" w:rsidRPr="00C862C2" w:rsidRDefault="00C862C2" w:rsidP="00C862C2">
      <w:pPr>
        <w:spacing w:after="0" w:line="240" w:lineRule="auto"/>
        <w:jc w:val="both"/>
        <w:rPr>
          <w:rFonts w:ascii="Times New Roman" w:eastAsia="Times New Roman" w:hAnsi="Times New Roman" w:cs="Times New Roman"/>
        </w:rPr>
      </w:pPr>
    </w:p>
    <w:p w14:paraId="3055A1FF" w14:textId="7F3B936C" w:rsidR="002758BC" w:rsidRDefault="002758BC"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b/>
          <w:bCs/>
        </w:rPr>
        <w:t>c) Profitability (ROA):</w:t>
      </w:r>
      <w:r w:rsidRPr="00C862C2">
        <w:rPr>
          <w:rFonts w:ascii="Times New Roman" w:eastAsia="Times New Roman" w:hAnsi="Times New Roman" w:cs="Times New Roman"/>
        </w:rPr>
        <w:t xml:space="preserve"> Net income divided by total assets.</w:t>
      </w:r>
      <w:r w:rsidR="00430839" w:rsidRPr="00C862C2">
        <w:rPr>
          <w:rFonts w:ascii="Times New Roman" w:eastAsia="Times New Roman" w:hAnsi="Times New Roman" w:cs="Times New Roman"/>
        </w:rPr>
        <w:t xml:space="preserve"> </w:t>
      </w:r>
      <w:r w:rsidRPr="00C862C2">
        <w:rPr>
          <w:rFonts w:ascii="Times New Roman" w:eastAsia="Times New Roman" w:hAnsi="Times New Roman" w:cs="Times New Roman"/>
        </w:rPr>
        <w:t xml:space="preserve">Conservative risk strategies may reduce profitability, prompting firms to adopt aggressive reporting to maintain market value (Barani et al., 2025). Environmental efforts improve efficiency, reduce compliance costs, and increase profitability (Madsen &amp; Ulhøi, 2016; Chen et al., 2016; </w:t>
      </w:r>
      <w:proofErr w:type="spellStart"/>
      <w:r w:rsidRPr="00C862C2">
        <w:rPr>
          <w:rFonts w:ascii="Times New Roman" w:eastAsia="Times New Roman" w:hAnsi="Times New Roman" w:cs="Times New Roman"/>
        </w:rPr>
        <w:t>Longolongo</w:t>
      </w:r>
      <w:proofErr w:type="spellEnd"/>
      <w:r w:rsidRPr="00C862C2">
        <w:rPr>
          <w:rFonts w:ascii="Times New Roman" w:eastAsia="Times New Roman" w:hAnsi="Times New Roman" w:cs="Times New Roman"/>
        </w:rPr>
        <w:t xml:space="preserve"> et al., 2015; Teng et al., 2014). Environmental management practices enhance sustainable competitive advantage and positively affect cash flows (Tsai et al., 2020; Zare </w:t>
      </w:r>
      <w:proofErr w:type="spellStart"/>
      <w:r w:rsidRPr="00C862C2">
        <w:rPr>
          <w:rFonts w:ascii="Times New Roman" w:eastAsia="Times New Roman" w:hAnsi="Times New Roman" w:cs="Times New Roman"/>
        </w:rPr>
        <w:t>Behnamiri</w:t>
      </w:r>
      <w:proofErr w:type="spellEnd"/>
      <w:r w:rsidRPr="00C862C2">
        <w:rPr>
          <w:rFonts w:ascii="Times New Roman" w:eastAsia="Times New Roman" w:hAnsi="Times New Roman" w:cs="Times New Roman"/>
        </w:rPr>
        <w:t xml:space="preserve"> &amp; </w:t>
      </w:r>
      <w:proofErr w:type="spellStart"/>
      <w:r w:rsidRPr="00C862C2">
        <w:rPr>
          <w:rFonts w:ascii="Times New Roman" w:eastAsia="Times New Roman" w:hAnsi="Times New Roman" w:cs="Times New Roman"/>
        </w:rPr>
        <w:t>YaqubiBorijani</w:t>
      </w:r>
      <w:proofErr w:type="spellEnd"/>
      <w:r w:rsidRPr="00C862C2">
        <w:rPr>
          <w:rFonts w:ascii="Times New Roman" w:eastAsia="Times New Roman" w:hAnsi="Times New Roman" w:cs="Times New Roman"/>
        </w:rPr>
        <w:t>, 2025).</w:t>
      </w:r>
    </w:p>
    <w:p w14:paraId="4A0DDB26" w14:textId="77777777" w:rsidR="00C862C2" w:rsidRPr="00C862C2" w:rsidRDefault="00C862C2" w:rsidP="00C862C2">
      <w:pPr>
        <w:spacing w:after="0" w:line="240" w:lineRule="auto"/>
        <w:jc w:val="both"/>
        <w:rPr>
          <w:rFonts w:ascii="Times New Roman" w:eastAsia="Times New Roman" w:hAnsi="Times New Roman" w:cs="Times New Roman"/>
        </w:rPr>
      </w:pPr>
    </w:p>
    <w:p w14:paraId="60348A1A" w14:textId="54AC3EB7" w:rsidR="002758BC" w:rsidRDefault="002758BC"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b/>
          <w:bCs/>
        </w:rPr>
        <w:t>d) Operating Cash Flow (OCF):</w:t>
      </w:r>
      <w:r w:rsidRPr="00C862C2">
        <w:rPr>
          <w:rFonts w:ascii="Times New Roman" w:eastAsia="Times New Roman" w:hAnsi="Times New Roman" w:cs="Times New Roman"/>
        </w:rPr>
        <w:t xml:space="preserve"> Operating cash flow divided by total assets.</w:t>
      </w:r>
      <w:r w:rsidR="00430839" w:rsidRPr="00C862C2">
        <w:rPr>
          <w:rFonts w:ascii="Times New Roman" w:eastAsia="Times New Roman" w:hAnsi="Times New Roman" w:cs="Times New Roman"/>
        </w:rPr>
        <w:t xml:space="preserve"> </w:t>
      </w:r>
      <w:r w:rsidRPr="00C862C2">
        <w:rPr>
          <w:rFonts w:ascii="Times New Roman" w:eastAsia="Times New Roman" w:hAnsi="Times New Roman" w:cs="Times New Roman"/>
        </w:rPr>
        <w:t xml:space="preserve">Cash flow management may influence reporting to mislead users, which conservatism mitigates by addressing agency conflicts and information asymmetry (Jahanbakhsh et al., 2017). ESG performance relates to operating cash flows through financial and non-financial effects, as suggested by resource-based theory (Zare </w:t>
      </w:r>
      <w:proofErr w:type="spellStart"/>
      <w:r w:rsidRPr="00C862C2">
        <w:rPr>
          <w:rFonts w:ascii="Times New Roman" w:eastAsia="Times New Roman" w:hAnsi="Times New Roman" w:cs="Times New Roman"/>
        </w:rPr>
        <w:t>Behnamiri</w:t>
      </w:r>
      <w:proofErr w:type="spellEnd"/>
      <w:r w:rsidRPr="00C862C2">
        <w:rPr>
          <w:rFonts w:ascii="Times New Roman" w:eastAsia="Times New Roman" w:hAnsi="Times New Roman" w:cs="Times New Roman"/>
        </w:rPr>
        <w:t xml:space="preserve"> &amp; </w:t>
      </w:r>
      <w:proofErr w:type="spellStart"/>
      <w:r w:rsidRPr="00C862C2">
        <w:rPr>
          <w:rFonts w:ascii="Times New Roman" w:eastAsia="Times New Roman" w:hAnsi="Times New Roman" w:cs="Times New Roman"/>
        </w:rPr>
        <w:t>YaqubiBorijani</w:t>
      </w:r>
      <w:proofErr w:type="spellEnd"/>
      <w:r w:rsidRPr="00C862C2">
        <w:rPr>
          <w:rFonts w:ascii="Times New Roman" w:eastAsia="Times New Roman" w:hAnsi="Times New Roman" w:cs="Times New Roman"/>
        </w:rPr>
        <w:t>, 2025).</w:t>
      </w:r>
    </w:p>
    <w:p w14:paraId="74C3ACBE" w14:textId="77777777" w:rsidR="00C862C2" w:rsidRPr="00C862C2" w:rsidRDefault="00C862C2" w:rsidP="00C862C2">
      <w:pPr>
        <w:spacing w:after="0" w:line="240" w:lineRule="auto"/>
        <w:jc w:val="both"/>
        <w:rPr>
          <w:rFonts w:ascii="Times New Roman" w:eastAsia="Times New Roman" w:hAnsi="Times New Roman" w:cs="Times New Roman"/>
        </w:rPr>
      </w:pPr>
    </w:p>
    <w:p w14:paraId="5AA2F8CF" w14:textId="77777777" w:rsidR="002758BC" w:rsidRDefault="002758BC"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b/>
          <w:bCs/>
        </w:rPr>
        <w:t>e) Sales Growth (SG):</w:t>
      </w:r>
      <w:r w:rsidRPr="00C862C2">
        <w:rPr>
          <w:rFonts w:ascii="Times New Roman" w:eastAsia="Times New Roman" w:hAnsi="Times New Roman" w:cs="Times New Roman"/>
        </w:rPr>
        <w:t xml:space="preserve"> </w:t>
      </w:r>
      <w:r w:rsidR="00F27C28" w:rsidRPr="00C862C2">
        <w:rPr>
          <w:rFonts w:ascii="Times New Roman" w:eastAsia="Times New Roman" w:hAnsi="Times New Roman" w:cs="Times New Roman"/>
        </w:rPr>
        <w:t>Calculated as (current period sales – prior period sales) ÷ prior period sales.</w:t>
      </w:r>
      <w:r w:rsidRPr="00C862C2">
        <w:rPr>
          <w:rFonts w:ascii="Times New Roman" w:eastAsia="Times New Roman" w:hAnsi="Times New Roman" w:cs="Times New Roman"/>
        </w:rPr>
        <w:br/>
        <w:t>Sales growth measures growth opportunities and affects conservatism via accrual and market values (Petro et al., 2017; Ahmed &amp; Duellman, 2007). High sales growth signals strong future cash flows and influences conservatism (</w:t>
      </w:r>
      <w:proofErr w:type="spellStart"/>
      <w:r w:rsidRPr="00C862C2">
        <w:rPr>
          <w:rFonts w:ascii="Times New Roman" w:eastAsia="Times New Roman" w:hAnsi="Times New Roman" w:cs="Times New Roman"/>
        </w:rPr>
        <w:t>Homaireh</w:t>
      </w:r>
      <w:proofErr w:type="spellEnd"/>
      <w:r w:rsidRPr="00C862C2">
        <w:rPr>
          <w:rFonts w:ascii="Times New Roman" w:eastAsia="Times New Roman" w:hAnsi="Times New Roman" w:cs="Times New Roman"/>
        </w:rPr>
        <w:t xml:space="preserve">, 2016; Padmawati &amp; </w:t>
      </w:r>
      <w:proofErr w:type="spellStart"/>
      <w:r w:rsidRPr="00C862C2">
        <w:rPr>
          <w:rFonts w:ascii="Times New Roman" w:eastAsia="Times New Roman" w:hAnsi="Times New Roman" w:cs="Times New Roman"/>
        </w:rPr>
        <w:t>Fakhrurozi</w:t>
      </w:r>
      <w:proofErr w:type="spellEnd"/>
      <w:r w:rsidRPr="00C862C2">
        <w:rPr>
          <w:rFonts w:ascii="Times New Roman" w:eastAsia="Times New Roman" w:hAnsi="Times New Roman" w:cs="Times New Roman"/>
        </w:rPr>
        <w:t>, 2015; Heidari et al., 2022). It also indicates investment opportunities, with higher sales associated with greater environmental activity (Verdi, 2006; Sarlak et al., 2017).</w:t>
      </w:r>
    </w:p>
    <w:p w14:paraId="162E011A" w14:textId="77777777" w:rsidR="00C862C2" w:rsidRPr="00C862C2" w:rsidRDefault="00C862C2" w:rsidP="00C862C2">
      <w:pPr>
        <w:spacing w:after="0" w:line="240" w:lineRule="auto"/>
        <w:jc w:val="both"/>
        <w:rPr>
          <w:rFonts w:ascii="Times New Roman" w:eastAsia="Times New Roman" w:hAnsi="Times New Roman" w:cs="Times New Roman"/>
        </w:rPr>
      </w:pPr>
    </w:p>
    <w:p w14:paraId="39301695" w14:textId="77777777" w:rsidR="002758BC" w:rsidRDefault="002758BC"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b/>
          <w:bCs/>
        </w:rPr>
        <w:t>f) Auditor Type (BIG):</w:t>
      </w:r>
      <w:r w:rsidRPr="00C862C2">
        <w:rPr>
          <w:rFonts w:ascii="Times New Roman" w:eastAsia="Times New Roman" w:hAnsi="Times New Roman" w:cs="Times New Roman"/>
        </w:rPr>
        <w:t xml:space="preserve"> Dummy variable, 1 if auditor is a Big Audit Organization, 0 otherwise.</w:t>
      </w:r>
      <w:r w:rsidRPr="00C862C2">
        <w:rPr>
          <w:rFonts w:ascii="Times New Roman" w:eastAsia="Times New Roman" w:hAnsi="Times New Roman" w:cs="Times New Roman"/>
        </w:rPr>
        <w:br/>
        <w:t>Conservatism reduces misstatements, and higher audit quality improves reporting (Hekmat et al., 2024). Low environmental disclosure may increase client risk, prompting auditors to exert more effort and improve audit quality (</w:t>
      </w:r>
      <w:proofErr w:type="spellStart"/>
      <w:r w:rsidRPr="00C862C2">
        <w:rPr>
          <w:rFonts w:ascii="Times New Roman" w:eastAsia="Times New Roman" w:hAnsi="Times New Roman" w:cs="Times New Roman"/>
        </w:rPr>
        <w:t>Tahriri</w:t>
      </w:r>
      <w:proofErr w:type="spellEnd"/>
      <w:r w:rsidRPr="00C862C2">
        <w:rPr>
          <w:rFonts w:ascii="Times New Roman" w:eastAsia="Times New Roman" w:hAnsi="Times New Roman" w:cs="Times New Roman"/>
        </w:rPr>
        <w:t xml:space="preserve"> &amp; </w:t>
      </w:r>
      <w:proofErr w:type="spellStart"/>
      <w:r w:rsidRPr="00C862C2">
        <w:rPr>
          <w:rFonts w:ascii="Times New Roman" w:eastAsia="Times New Roman" w:hAnsi="Times New Roman" w:cs="Times New Roman"/>
        </w:rPr>
        <w:t>Afzai</w:t>
      </w:r>
      <w:proofErr w:type="spellEnd"/>
      <w:r w:rsidRPr="00C862C2">
        <w:rPr>
          <w:rFonts w:ascii="Times New Roman" w:eastAsia="Times New Roman" w:hAnsi="Times New Roman" w:cs="Times New Roman"/>
        </w:rPr>
        <w:t>, 2020).</w:t>
      </w:r>
    </w:p>
    <w:p w14:paraId="08C837B5" w14:textId="77777777" w:rsidR="00C862C2" w:rsidRPr="00C862C2" w:rsidRDefault="00C862C2" w:rsidP="00C862C2">
      <w:pPr>
        <w:spacing w:after="0" w:line="240" w:lineRule="auto"/>
        <w:jc w:val="both"/>
        <w:rPr>
          <w:rFonts w:ascii="Times New Roman" w:eastAsia="Times New Roman" w:hAnsi="Times New Roman" w:cs="Times New Roman"/>
        </w:rPr>
      </w:pPr>
    </w:p>
    <w:p w14:paraId="04DF35DD" w14:textId="77777777" w:rsidR="002758BC" w:rsidRDefault="002758BC"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b/>
          <w:bCs/>
        </w:rPr>
        <w:t>g) Year (YEARS):</w:t>
      </w:r>
      <w:r w:rsidRPr="00C862C2">
        <w:rPr>
          <w:rFonts w:ascii="Times New Roman" w:eastAsia="Times New Roman" w:hAnsi="Times New Roman" w:cs="Times New Roman"/>
        </w:rPr>
        <w:t xml:space="preserve"> Controls for changes in economic, political, social, and legal conditions over time, isolating temporal effects on research outcomes.</w:t>
      </w:r>
    </w:p>
    <w:p w14:paraId="23651FD0" w14:textId="77777777" w:rsidR="00C862C2" w:rsidRPr="00C862C2" w:rsidRDefault="00C862C2" w:rsidP="00C862C2">
      <w:pPr>
        <w:spacing w:after="0" w:line="240" w:lineRule="auto"/>
        <w:jc w:val="both"/>
        <w:rPr>
          <w:rFonts w:ascii="Times New Roman" w:eastAsia="Times New Roman" w:hAnsi="Times New Roman" w:cs="Times New Roman"/>
        </w:rPr>
      </w:pPr>
    </w:p>
    <w:p w14:paraId="022209B3" w14:textId="77777777" w:rsidR="002758BC" w:rsidRPr="00C862C2" w:rsidRDefault="002758BC"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b/>
          <w:bCs/>
        </w:rPr>
        <w:t>h) Industry (IND):</w:t>
      </w:r>
      <w:r w:rsidRPr="00C862C2">
        <w:rPr>
          <w:rFonts w:ascii="Times New Roman" w:eastAsia="Times New Roman" w:hAnsi="Times New Roman" w:cs="Times New Roman"/>
        </w:rPr>
        <w:t xml:space="preserve"> Controls for industry-specific conditions such as competition, technology, and regulations.</w:t>
      </w:r>
    </w:p>
    <w:p w14:paraId="6EDAC428" w14:textId="77777777" w:rsidR="002758BC" w:rsidRPr="00C862C2" w:rsidRDefault="002758BC"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Dummy variables are used for year and industry: 1 if a firm belongs to a given year or industry, 0 otherwise.</w:t>
      </w:r>
    </w:p>
    <w:p w14:paraId="59A43236" w14:textId="77777777" w:rsidR="002758BC" w:rsidRPr="00C862C2" w:rsidRDefault="002758BC" w:rsidP="00C862C2">
      <w:pPr>
        <w:pStyle w:val="Heading2"/>
        <w:spacing w:before="0" w:line="240" w:lineRule="auto"/>
        <w:jc w:val="both"/>
        <w:rPr>
          <w:rStyle w:val="Strong"/>
          <w:rFonts w:ascii="Times New Roman" w:hAnsi="Times New Roman" w:cs="Times New Roman"/>
          <w:b/>
          <w:bCs/>
          <w:color w:val="auto"/>
          <w:sz w:val="22"/>
          <w:szCs w:val="22"/>
          <w:rtl/>
        </w:rPr>
      </w:pPr>
    </w:p>
    <w:p w14:paraId="0B271FF5" w14:textId="5182AAAD" w:rsidR="009B5D96" w:rsidRDefault="00214CA4" w:rsidP="00C862C2">
      <w:pPr>
        <w:pStyle w:val="Heading2"/>
        <w:spacing w:before="0" w:line="240" w:lineRule="auto"/>
        <w:jc w:val="both"/>
        <w:rPr>
          <w:rFonts w:ascii="Times New Roman" w:hAnsi="Times New Roman" w:cs="Times New Roman"/>
          <w:color w:val="auto"/>
          <w:sz w:val="22"/>
          <w:szCs w:val="22"/>
        </w:rPr>
      </w:pPr>
      <w:r w:rsidRPr="00C862C2">
        <w:rPr>
          <w:rStyle w:val="Strong"/>
          <w:rFonts w:ascii="Times New Roman" w:hAnsi="Times New Roman" w:cs="Times New Roman"/>
          <w:b/>
          <w:bCs/>
          <w:color w:val="auto"/>
          <w:sz w:val="22"/>
          <w:szCs w:val="22"/>
        </w:rPr>
        <w:t>4.</w:t>
      </w:r>
      <w:r w:rsidR="00146D68" w:rsidRPr="00C862C2">
        <w:rPr>
          <w:rStyle w:val="Strong"/>
          <w:rFonts w:ascii="Times New Roman" w:hAnsi="Times New Roman" w:cs="Times New Roman"/>
          <w:b/>
          <w:bCs/>
          <w:color w:val="auto"/>
          <w:sz w:val="22"/>
          <w:szCs w:val="22"/>
        </w:rPr>
        <w:t xml:space="preserve"> </w:t>
      </w:r>
      <w:r w:rsidR="009B5D96" w:rsidRPr="00C862C2">
        <w:rPr>
          <w:rStyle w:val="Strong"/>
          <w:rFonts w:ascii="Times New Roman" w:hAnsi="Times New Roman" w:cs="Times New Roman"/>
          <w:b/>
          <w:bCs/>
          <w:color w:val="auto"/>
          <w:sz w:val="22"/>
          <w:szCs w:val="22"/>
        </w:rPr>
        <w:t>Data Analysis</w:t>
      </w:r>
      <w:r w:rsidR="000859CA" w:rsidRPr="00C862C2">
        <w:rPr>
          <w:rFonts w:ascii="Times New Roman" w:hAnsi="Times New Roman" w:cs="Times New Roman"/>
          <w:color w:val="auto"/>
          <w:sz w:val="22"/>
          <w:szCs w:val="22"/>
        </w:rPr>
        <w:t>&amp; Result</w:t>
      </w:r>
    </w:p>
    <w:p w14:paraId="10552BD3" w14:textId="77777777" w:rsidR="00C862C2" w:rsidRPr="00C862C2" w:rsidRDefault="00C862C2" w:rsidP="00C862C2">
      <w:pPr>
        <w:spacing w:after="0"/>
      </w:pPr>
    </w:p>
    <w:p w14:paraId="7701A16A" w14:textId="6EEECB0B" w:rsidR="009B5D96" w:rsidRPr="00C862C2" w:rsidRDefault="00214CA4" w:rsidP="00C862C2">
      <w:pPr>
        <w:pStyle w:val="Heading3"/>
        <w:spacing w:before="0" w:beforeAutospacing="0" w:after="0" w:afterAutospacing="0"/>
        <w:jc w:val="both"/>
        <w:rPr>
          <w:b w:val="0"/>
          <w:bCs w:val="0"/>
          <w:sz w:val="22"/>
          <w:szCs w:val="22"/>
        </w:rPr>
      </w:pPr>
      <w:r w:rsidRPr="00C862C2">
        <w:rPr>
          <w:rStyle w:val="Strong"/>
          <w:b/>
          <w:bCs/>
          <w:sz w:val="22"/>
          <w:szCs w:val="22"/>
        </w:rPr>
        <w:t>4.1.</w:t>
      </w:r>
      <w:r w:rsidR="00430839" w:rsidRPr="00C862C2">
        <w:rPr>
          <w:rStyle w:val="Strong"/>
          <w:b/>
          <w:bCs/>
          <w:sz w:val="22"/>
          <w:szCs w:val="22"/>
        </w:rPr>
        <w:t xml:space="preserve"> </w:t>
      </w:r>
      <w:r w:rsidR="009B5D96" w:rsidRPr="00C862C2">
        <w:rPr>
          <w:rStyle w:val="Strong"/>
          <w:b/>
          <w:bCs/>
          <w:sz w:val="22"/>
          <w:szCs w:val="22"/>
        </w:rPr>
        <w:t>Descriptive Statistics</w:t>
      </w:r>
    </w:p>
    <w:p w14:paraId="149A4E2E" w14:textId="76AC7F28" w:rsidR="009B5D96" w:rsidRPr="00C862C2" w:rsidRDefault="009B5D96" w:rsidP="00C862C2">
      <w:pPr>
        <w:pStyle w:val="NormalWeb"/>
        <w:spacing w:before="0" w:beforeAutospacing="0" w:after="0" w:afterAutospacing="0"/>
        <w:jc w:val="both"/>
        <w:rPr>
          <w:sz w:val="22"/>
          <w:szCs w:val="22"/>
        </w:rPr>
      </w:pPr>
      <w:r w:rsidRPr="00C862C2">
        <w:rPr>
          <w:sz w:val="22"/>
          <w:szCs w:val="22"/>
        </w:rPr>
        <w:t>The first step in analyzing the research data is to describe the general characteristics of the study variables in terms of mean, median, minimum, maximum, and standard deviation, which are presented in Table (1).</w:t>
      </w:r>
      <w:r w:rsidR="008015BF" w:rsidRPr="00C862C2">
        <w:rPr>
          <w:sz w:val="22"/>
          <w:szCs w:val="22"/>
        </w:rPr>
        <w:t xml:space="preserve"> </w:t>
      </w:r>
      <w:r w:rsidRPr="00C862C2">
        <w:rPr>
          <w:sz w:val="22"/>
          <w:szCs w:val="22"/>
        </w:rPr>
        <w:t xml:space="preserve">The results of the descriptive statistics show that the mean value of </w:t>
      </w:r>
      <w:r w:rsidRPr="00C862C2">
        <w:rPr>
          <w:rStyle w:val="Strong"/>
          <w:b w:val="0"/>
          <w:bCs w:val="0"/>
          <w:sz w:val="22"/>
          <w:szCs w:val="22"/>
        </w:rPr>
        <w:t>conditional accounting conservatism</w:t>
      </w:r>
      <w:r w:rsidRPr="00C862C2">
        <w:rPr>
          <w:sz w:val="22"/>
          <w:szCs w:val="22"/>
        </w:rPr>
        <w:t xml:space="preserve"> is </w:t>
      </w:r>
      <w:r w:rsidRPr="00C862C2">
        <w:rPr>
          <w:rStyle w:val="Strong"/>
          <w:b w:val="0"/>
          <w:bCs w:val="0"/>
          <w:sz w:val="22"/>
          <w:szCs w:val="22"/>
        </w:rPr>
        <w:t>0.003</w:t>
      </w:r>
      <w:r w:rsidRPr="00C862C2">
        <w:rPr>
          <w:sz w:val="22"/>
          <w:szCs w:val="22"/>
        </w:rPr>
        <w:t xml:space="preserve">, with a maximum of </w:t>
      </w:r>
      <w:r w:rsidRPr="00C862C2">
        <w:rPr>
          <w:rStyle w:val="Strong"/>
          <w:b w:val="0"/>
          <w:bCs w:val="0"/>
          <w:sz w:val="22"/>
          <w:szCs w:val="22"/>
        </w:rPr>
        <w:t>0.25</w:t>
      </w:r>
      <w:r w:rsidRPr="00C862C2">
        <w:rPr>
          <w:sz w:val="22"/>
          <w:szCs w:val="22"/>
        </w:rPr>
        <w:t xml:space="preserve"> and a minimum of </w:t>
      </w:r>
      <w:r w:rsidRPr="00C862C2">
        <w:rPr>
          <w:rStyle w:val="Strong"/>
          <w:b w:val="0"/>
          <w:bCs w:val="0"/>
          <w:sz w:val="22"/>
          <w:szCs w:val="22"/>
        </w:rPr>
        <w:t>0.81</w:t>
      </w:r>
      <w:r w:rsidRPr="00C862C2">
        <w:rPr>
          <w:sz w:val="22"/>
          <w:szCs w:val="22"/>
        </w:rPr>
        <w:t xml:space="preserve">. Furthermore, environmental reporting results reveal that Iranian companies have disclosed only </w:t>
      </w:r>
      <w:r w:rsidRPr="00C862C2">
        <w:rPr>
          <w:rStyle w:val="Strong"/>
          <w:b w:val="0"/>
          <w:bCs w:val="0"/>
          <w:sz w:val="22"/>
          <w:szCs w:val="22"/>
        </w:rPr>
        <w:t>16%</w:t>
      </w:r>
      <w:r w:rsidRPr="00C862C2">
        <w:rPr>
          <w:sz w:val="22"/>
          <w:szCs w:val="22"/>
        </w:rPr>
        <w:t xml:space="preserve"> of environmental disclosure indicators, with a maximum disclosure level of </w:t>
      </w:r>
      <w:r w:rsidRPr="00C862C2">
        <w:rPr>
          <w:rStyle w:val="Strong"/>
          <w:b w:val="0"/>
          <w:bCs w:val="0"/>
          <w:sz w:val="22"/>
          <w:szCs w:val="22"/>
        </w:rPr>
        <w:t>88%</w:t>
      </w:r>
      <w:r w:rsidRPr="00C862C2">
        <w:rPr>
          <w:sz w:val="22"/>
          <w:szCs w:val="22"/>
        </w:rPr>
        <w:t xml:space="preserve"> and a minimum of </w:t>
      </w:r>
      <w:r w:rsidRPr="00C862C2">
        <w:rPr>
          <w:rStyle w:val="Strong"/>
          <w:b w:val="0"/>
          <w:bCs w:val="0"/>
          <w:sz w:val="22"/>
          <w:szCs w:val="22"/>
        </w:rPr>
        <w:t>5%</w:t>
      </w:r>
      <w:r w:rsidRPr="00C862C2">
        <w:rPr>
          <w:sz w:val="22"/>
          <w:szCs w:val="22"/>
        </w:rPr>
        <w:t xml:space="preserve">. This may indicate the low level of attention paid by corporate managers to environmental disclosure and the limited consideration of the critical role of these variables in corporate financial reporting. It is also possible that companies lack sufficient internal capacity to collect and report such information. Additionally, investors may not exert sufficient pressure, or may believe that such disclosures provide no direct benefits under conditions in which firms face economic sanctions and financial </w:t>
      </w:r>
      <w:proofErr w:type="spellStart"/>
      <w:proofErr w:type="gramStart"/>
      <w:r w:rsidRPr="00C862C2">
        <w:rPr>
          <w:sz w:val="22"/>
          <w:szCs w:val="22"/>
        </w:rPr>
        <w:t>constraints.With</w:t>
      </w:r>
      <w:proofErr w:type="spellEnd"/>
      <w:proofErr w:type="gramEnd"/>
      <w:r w:rsidRPr="00C862C2">
        <w:rPr>
          <w:sz w:val="22"/>
          <w:szCs w:val="22"/>
        </w:rPr>
        <w:t xml:space="preserve"> respect to the control variables, firm size has an average value of </w:t>
      </w:r>
      <w:r w:rsidRPr="00C862C2">
        <w:rPr>
          <w:rStyle w:val="Strong"/>
          <w:b w:val="0"/>
          <w:bCs w:val="0"/>
          <w:sz w:val="22"/>
          <w:szCs w:val="22"/>
        </w:rPr>
        <w:t>14.6</w:t>
      </w:r>
      <w:r w:rsidRPr="00C862C2">
        <w:rPr>
          <w:sz w:val="22"/>
          <w:szCs w:val="22"/>
        </w:rPr>
        <w:t xml:space="preserve">, with the largest and smallest firms in the sample reporting values of </w:t>
      </w:r>
      <w:r w:rsidRPr="00C862C2">
        <w:rPr>
          <w:rStyle w:val="Strong"/>
          <w:b w:val="0"/>
          <w:bCs w:val="0"/>
          <w:sz w:val="22"/>
          <w:szCs w:val="22"/>
        </w:rPr>
        <w:t>20.7</w:t>
      </w:r>
      <w:r w:rsidRPr="00C862C2">
        <w:rPr>
          <w:sz w:val="22"/>
          <w:szCs w:val="22"/>
        </w:rPr>
        <w:t xml:space="preserve"> and </w:t>
      </w:r>
      <w:r w:rsidRPr="00C862C2">
        <w:rPr>
          <w:rStyle w:val="Strong"/>
          <w:b w:val="0"/>
          <w:bCs w:val="0"/>
          <w:sz w:val="22"/>
          <w:szCs w:val="22"/>
        </w:rPr>
        <w:t>10.5</w:t>
      </w:r>
      <w:r w:rsidRPr="00C862C2">
        <w:rPr>
          <w:sz w:val="22"/>
          <w:szCs w:val="22"/>
        </w:rPr>
        <w:t xml:space="preserve">, respectively. The financial leverage ratio indicates that companies have financed, on average, </w:t>
      </w:r>
      <w:r w:rsidRPr="00C862C2">
        <w:rPr>
          <w:rStyle w:val="Strong"/>
          <w:b w:val="0"/>
          <w:bCs w:val="0"/>
          <w:sz w:val="22"/>
          <w:szCs w:val="22"/>
        </w:rPr>
        <w:t>52%</w:t>
      </w:r>
      <w:r w:rsidRPr="00C862C2">
        <w:rPr>
          <w:sz w:val="22"/>
          <w:szCs w:val="22"/>
        </w:rPr>
        <w:t xml:space="preserve"> of their total assets through debt, with a maximum of </w:t>
      </w:r>
      <w:r w:rsidRPr="00C862C2">
        <w:rPr>
          <w:rStyle w:val="Strong"/>
          <w:b w:val="0"/>
          <w:bCs w:val="0"/>
          <w:sz w:val="22"/>
          <w:szCs w:val="22"/>
        </w:rPr>
        <w:t>98%</w:t>
      </w:r>
      <w:r w:rsidRPr="00C862C2">
        <w:rPr>
          <w:sz w:val="22"/>
          <w:szCs w:val="22"/>
        </w:rPr>
        <w:t xml:space="preserve">, reflecting a very high-risk financial structure. The minimum leverage value is </w:t>
      </w:r>
      <w:r w:rsidRPr="00C862C2">
        <w:rPr>
          <w:rStyle w:val="Strong"/>
          <w:b w:val="0"/>
          <w:bCs w:val="0"/>
          <w:sz w:val="22"/>
          <w:szCs w:val="22"/>
        </w:rPr>
        <w:t>1%</w:t>
      </w:r>
      <w:r w:rsidRPr="00C862C2">
        <w:rPr>
          <w:sz w:val="22"/>
          <w:szCs w:val="22"/>
        </w:rPr>
        <w:t xml:space="preserve">, indicating minimal reliance on debt </w:t>
      </w:r>
      <w:proofErr w:type="spellStart"/>
      <w:proofErr w:type="gramStart"/>
      <w:r w:rsidRPr="00C862C2">
        <w:rPr>
          <w:sz w:val="22"/>
          <w:szCs w:val="22"/>
        </w:rPr>
        <w:t>financing.The</w:t>
      </w:r>
      <w:proofErr w:type="spellEnd"/>
      <w:proofErr w:type="gramEnd"/>
      <w:r w:rsidRPr="00C862C2">
        <w:rPr>
          <w:sz w:val="22"/>
          <w:szCs w:val="22"/>
        </w:rPr>
        <w:t xml:space="preserve"> mean profitability of firms (ROA) is </w:t>
      </w:r>
      <w:r w:rsidRPr="00C862C2">
        <w:rPr>
          <w:rStyle w:val="Strong"/>
          <w:b w:val="0"/>
          <w:bCs w:val="0"/>
          <w:sz w:val="22"/>
          <w:szCs w:val="22"/>
        </w:rPr>
        <w:t>15%</w:t>
      </w:r>
      <w:r w:rsidRPr="00C862C2">
        <w:rPr>
          <w:sz w:val="22"/>
          <w:szCs w:val="22"/>
        </w:rPr>
        <w:t xml:space="preserve"> of total assets, with a maximum of </w:t>
      </w:r>
      <w:r w:rsidRPr="00C862C2">
        <w:rPr>
          <w:rStyle w:val="Strong"/>
          <w:b w:val="0"/>
          <w:bCs w:val="0"/>
          <w:sz w:val="22"/>
          <w:szCs w:val="22"/>
        </w:rPr>
        <w:t>68%</w:t>
      </w:r>
      <w:r w:rsidRPr="00C862C2">
        <w:rPr>
          <w:sz w:val="22"/>
          <w:szCs w:val="22"/>
        </w:rPr>
        <w:t xml:space="preserve"> and a minimum of </w:t>
      </w:r>
      <w:r w:rsidRPr="00C862C2">
        <w:rPr>
          <w:rStyle w:val="Strong"/>
          <w:b w:val="0"/>
          <w:bCs w:val="0"/>
          <w:sz w:val="22"/>
          <w:szCs w:val="22"/>
        </w:rPr>
        <w:t>–29%</w:t>
      </w:r>
      <w:r w:rsidRPr="00C862C2">
        <w:rPr>
          <w:sz w:val="22"/>
          <w:szCs w:val="22"/>
        </w:rPr>
        <w:t xml:space="preserve">, indicating that some firms have experienced significant losses relative to their asset base. Operating cash flows represent </w:t>
      </w:r>
      <w:r w:rsidRPr="00C862C2">
        <w:rPr>
          <w:rStyle w:val="Strong"/>
          <w:b w:val="0"/>
          <w:bCs w:val="0"/>
          <w:sz w:val="22"/>
          <w:szCs w:val="22"/>
        </w:rPr>
        <w:t>12%</w:t>
      </w:r>
      <w:r w:rsidRPr="00C862C2">
        <w:rPr>
          <w:sz w:val="22"/>
          <w:szCs w:val="22"/>
        </w:rPr>
        <w:t xml:space="preserve"> of total assets on average, with a maximum of </w:t>
      </w:r>
      <w:r w:rsidRPr="00C862C2">
        <w:rPr>
          <w:rStyle w:val="Strong"/>
          <w:b w:val="0"/>
          <w:bCs w:val="0"/>
          <w:sz w:val="22"/>
          <w:szCs w:val="22"/>
        </w:rPr>
        <w:t>72%</w:t>
      </w:r>
      <w:r w:rsidRPr="00C862C2">
        <w:rPr>
          <w:sz w:val="22"/>
          <w:szCs w:val="22"/>
        </w:rPr>
        <w:t xml:space="preserve"> and a minimum of </w:t>
      </w:r>
      <w:r w:rsidRPr="00C862C2">
        <w:rPr>
          <w:rStyle w:val="Strong"/>
          <w:b w:val="0"/>
          <w:bCs w:val="0"/>
          <w:sz w:val="22"/>
          <w:szCs w:val="22"/>
        </w:rPr>
        <w:t>46%</w:t>
      </w:r>
      <w:r w:rsidRPr="00C862C2">
        <w:rPr>
          <w:sz w:val="22"/>
          <w:szCs w:val="22"/>
        </w:rPr>
        <w:t xml:space="preserve">, reflecting negative operational cash flows in the weakest </w:t>
      </w:r>
      <w:proofErr w:type="spellStart"/>
      <w:proofErr w:type="gramStart"/>
      <w:r w:rsidRPr="00C862C2">
        <w:rPr>
          <w:sz w:val="22"/>
          <w:szCs w:val="22"/>
        </w:rPr>
        <w:t>cases.Moreover</w:t>
      </w:r>
      <w:proofErr w:type="spellEnd"/>
      <w:proofErr w:type="gramEnd"/>
      <w:r w:rsidRPr="00C862C2">
        <w:rPr>
          <w:sz w:val="22"/>
          <w:szCs w:val="22"/>
        </w:rPr>
        <w:t xml:space="preserve">, firms experienced an average sales growth rate of </w:t>
      </w:r>
      <w:r w:rsidRPr="00C862C2">
        <w:rPr>
          <w:rStyle w:val="Strong"/>
          <w:b w:val="0"/>
          <w:bCs w:val="0"/>
          <w:sz w:val="22"/>
          <w:szCs w:val="22"/>
        </w:rPr>
        <w:t>25%</w:t>
      </w:r>
      <w:r w:rsidRPr="00C862C2">
        <w:rPr>
          <w:sz w:val="22"/>
          <w:szCs w:val="22"/>
        </w:rPr>
        <w:t xml:space="preserve"> over the previous period, with a maximum growth of </w:t>
      </w:r>
      <w:r w:rsidRPr="00C862C2">
        <w:rPr>
          <w:rStyle w:val="Strong"/>
          <w:b w:val="0"/>
          <w:bCs w:val="0"/>
          <w:sz w:val="22"/>
          <w:szCs w:val="22"/>
        </w:rPr>
        <w:t>3.5 times</w:t>
      </w:r>
      <w:r w:rsidRPr="00C862C2">
        <w:rPr>
          <w:sz w:val="22"/>
          <w:szCs w:val="22"/>
        </w:rPr>
        <w:t xml:space="preserve"> and a minimum of a </w:t>
      </w:r>
      <w:r w:rsidRPr="00C862C2">
        <w:rPr>
          <w:rStyle w:val="Strong"/>
          <w:b w:val="0"/>
          <w:bCs w:val="0"/>
          <w:sz w:val="22"/>
          <w:szCs w:val="22"/>
        </w:rPr>
        <w:t>90% decline</w:t>
      </w:r>
      <w:r w:rsidRPr="00C862C2">
        <w:rPr>
          <w:sz w:val="22"/>
          <w:szCs w:val="22"/>
        </w:rPr>
        <w:t xml:space="preserve">, indicating considerable variation in sales performance among sample firms. Finally, more than </w:t>
      </w:r>
      <w:r w:rsidRPr="00C862C2">
        <w:rPr>
          <w:rStyle w:val="Strong"/>
          <w:b w:val="0"/>
          <w:bCs w:val="0"/>
          <w:sz w:val="22"/>
          <w:szCs w:val="22"/>
        </w:rPr>
        <w:t>24%</w:t>
      </w:r>
      <w:r w:rsidRPr="00C862C2">
        <w:rPr>
          <w:sz w:val="22"/>
          <w:szCs w:val="22"/>
        </w:rPr>
        <w:t xml:space="preserve"> of the sample firms utilized the services of the Audit Organization during the study period.</w:t>
      </w:r>
    </w:p>
    <w:p w14:paraId="0A5DA1FA" w14:textId="77777777" w:rsidR="008015BF" w:rsidRPr="00C862C2" w:rsidRDefault="008015BF" w:rsidP="00C862C2">
      <w:pPr>
        <w:spacing w:after="0" w:line="240" w:lineRule="auto"/>
        <w:jc w:val="both"/>
        <w:rPr>
          <w:rFonts w:ascii="Times New Roman" w:hAnsi="Times New Roman" w:cs="Times New Roman"/>
        </w:rPr>
      </w:pPr>
    </w:p>
    <w:p w14:paraId="26761025" w14:textId="77777777" w:rsidR="00146D68" w:rsidRPr="00C862C2" w:rsidRDefault="00146D68" w:rsidP="00C862C2">
      <w:pPr>
        <w:spacing w:after="0" w:line="240" w:lineRule="auto"/>
        <w:jc w:val="both"/>
        <w:rPr>
          <w:rFonts w:ascii="Times New Roman" w:hAnsi="Times New Roman" w:cs="Times New Roman"/>
        </w:rPr>
      </w:pPr>
      <w:r w:rsidRPr="00C862C2">
        <w:rPr>
          <w:rFonts w:ascii="Times New Roman" w:hAnsi="Times New Roman" w:cs="Times New Roman"/>
          <w:b/>
          <w:bCs/>
        </w:rPr>
        <w:t>Table 3.</w:t>
      </w:r>
      <w:r w:rsidRPr="00C862C2">
        <w:rPr>
          <w:rFonts w:ascii="Times New Roman" w:hAnsi="Times New Roman" w:cs="Times New Roman"/>
        </w:rPr>
        <w:t xml:space="preserve"> Descriptive Statistics of Research Variables</w:t>
      </w:r>
    </w:p>
    <w:tbl>
      <w:tblPr>
        <w:tblStyle w:val="TableGrid"/>
        <w:bidiVisual/>
        <w:tblW w:w="0" w:type="auto"/>
        <w:tblInd w:w="-333" w:type="dxa"/>
        <w:tblLook w:val="04A0" w:firstRow="1" w:lastRow="0" w:firstColumn="1" w:lastColumn="0" w:noHBand="0" w:noVBand="1"/>
      </w:tblPr>
      <w:tblGrid>
        <w:gridCol w:w="1531"/>
        <w:gridCol w:w="1280"/>
        <w:gridCol w:w="1277"/>
        <w:gridCol w:w="1251"/>
        <w:gridCol w:w="1251"/>
        <w:gridCol w:w="1243"/>
        <w:gridCol w:w="1524"/>
      </w:tblGrid>
      <w:tr w:rsidR="00146D68" w:rsidRPr="00C862C2" w14:paraId="0D330488" w14:textId="77777777" w:rsidTr="00146D68">
        <w:tc>
          <w:tcPr>
            <w:tcW w:w="1531" w:type="dxa"/>
            <w:vAlign w:val="center"/>
          </w:tcPr>
          <w:p w14:paraId="1A561B0F"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Standard Deviation</w:t>
            </w:r>
          </w:p>
        </w:tc>
        <w:tc>
          <w:tcPr>
            <w:tcW w:w="1280" w:type="dxa"/>
            <w:vAlign w:val="center"/>
          </w:tcPr>
          <w:p w14:paraId="7458CA17" w14:textId="533BFBDF" w:rsidR="00146D68" w:rsidRPr="00C862C2" w:rsidRDefault="00146D68" w:rsidP="00C862C2">
            <w:pPr>
              <w:rPr>
                <w:rFonts w:ascii="Times New Roman" w:hAnsi="Times New Roman" w:cs="Times New Roman"/>
                <w:rtl/>
              </w:rPr>
            </w:pPr>
            <w:r w:rsidRPr="00C862C2">
              <w:rPr>
                <w:rFonts w:ascii="Times New Roman" w:hAnsi="Times New Roman" w:cs="Times New Roman"/>
              </w:rPr>
              <w:t>Minimum</w:t>
            </w:r>
          </w:p>
        </w:tc>
        <w:tc>
          <w:tcPr>
            <w:tcW w:w="1277" w:type="dxa"/>
            <w:vAlign w:val="center"/>
          </w:tcPr>
          <w:p w14:paraId="0D4DC4AD" w14:textId="3F3A7BA5" w:rsidR="00146D68" w:rsidRPr="00C862C2" w:rsidRDefault="00146D68" w:rsidP="00C862C2">
            <w:pPr>
              <w:rPr>
                <w:rFonts w:ascii="Times New Roman" w:hAnsi="Times New Roman" w:cs="Times New Roman"/>
                <w:rtl/>
              </w:rPr>
            </w:pPr>
            <w:r w:rsidRPr="00C862C2">
              <w:rPr>
                <w:rFonts w:ascii="Times New Roman" w:hAnsi="Times New Roman" w:cs="Times New Roman"/>
              </w:rPr>
              <w:t>Maximum</w:t>
            </w:r>
          </w:p>
        </w:tc>
        <w:tc>
          <w:tcPr>
            <w:tcW w:w="1251" w:type="dxa"/>
            <w:vAlign w:val="center"/>
          </w:tcPr>
          <w:p w14:paraId="7B7EDF1C" w14:textId="41A6366B" w:rsidR="00146D68" w:rsidRPr="00C862C2" w:rsidRDefault="00146D68" w:rsidP="00C862C2">
            <w:pPr>
              <w:rPr>
                <w:rFonts w:ascii="Times New Roman" w:hAnsi="Times New Roman" w:cs="Times New Roman"/>
                <w:rtl/>
              </w:rPr>
            </w:pPr>
            <w:r w:rsidRPr="00C862C2">
              <w:rPr>
                <w:rFonts w:ascii="Times New Roman" w:hAnsi="Times New Roman" w:cs="Times New Roman"/>
              </w:rPr>
              <w:t>Median</w:t>
            </w:r>
          </w:p>
        </w:tc>
        <w:tc>
          <w:tcPr>
            <w:tcW w:w="1251" w:type="dxa"/>
            <w:vAlign w:val="center"/>
          </w:tcPr>
          <w:p w14:paraId="4D423333" w14:textId="208279AB" w:rsidR="00146D68" w:rsidRPr="00C862C2" w:rsidRDefault="00146D68" w:rsidP="00C862C2">
            <w:pPr>
              <w:rPr>
                <w:rFonts w:ascii="Times New Roman" w:hAnsi="Times New Roman" w:cs="Times New Roman"/>
                <w:rtl/>
              </w:rPr>
            </w:pPr>
            <w:r w:rsidRPr="00C862C2">
              <w:rPr>
                <w:rFonts w:ascii="Times New Roman" w:hAnsi="Times New Roman" w:cs="Times New Roman"/>
              </w:rPr>
              <w:t>Mean</w:t>
            </w:r>
          </w:p>
        </w:tc>
        <w:tc>
          <w:tcPr>
            <w:tcW w:w="1243" w:type="dxa"/>
            <w:vAlign w:val="center"/>
          </w:tcPr>
          <w:p w14:paraId="7FB31972"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Symbol</w:t>
            </w:r>
          </w:p>
        </w:tc>
        <w:tc>
          <w:tcPr>
            <w:tcW w:w="1516" w:type="dxa"/>
            <w:vAlign w:val="center"/>
          </w:tcPr>
          <w:p w14:paraId="14E4162A"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Variable</w:t>
            </w:r>
          </w:p>
        </w:tc>
      </w:tr>
      <w:tr w:rsidR="00146D68" w:rsidRPr="00C862C2" w14:paraId="0FD9F48B" w14:textId="77777777" w:rsidTr="00146D68">
        <w:tc>
          <w:tcPr>
            <w:tcW w:w="1531" w:type="dxa"/>
            <w:vAlign w:val="center"/>
          </w:tcPr>
          <w:p w14:paraId="79417C84"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0.074931</w:t>
            </w:r>
          </w:p>
        </w:tc>
        <w:tc>
          <w:tcPr>
            <w:tcW w:w="1280" w:type="dxa"/>
            <w:vAlign w:val="center"/>
          </w:tcPr>
          <w:p w14:paraId="6052CD1C"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-0.817678</w:t>
            </w:r>
          </w:p>
        </w:tc>
        <w:tc>
          <w:tcPr>
            <w:tcW w:w="1277" w:type="dxa"/>
            <w:vAlign w:val="center"/>
          </w:tcPr>
          <w:p w14:paraId="6393A06F"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0.250285</w:t>
            </w:r>
          </w:p>
        </w:tc>
        <w:tc>
          <w:tcPr>
            <w:tcW w:w="1251" w:type="dxa"/>
            <w:vAlign w:val="center"/>
          </w:tcPr>
          <w:p w14:paraId="317EA66E"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0.003640</w:t>
            </w:r>
          </w:p>
        </w:tc>
        <w:tc>
          <w:tcPr>
            <w:tcW w:w="1251" w:type="dxa"/>
            <w:vAlign w:val="center"/>
          </w:tcPr>
          <w:p w14:paraId="62C39736"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0.003951</w:t>
            </w:r>
          </w:p>
        </w:tc>
        <w:tc>
          <w:tcPr>
            <w:tcW w:w="1243" w:type="dxa"/>
            <w:vAlign w:val="center"/>
          </w:tcPr>
          <w:p w14:paraId="048CD6E0"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CCONS</w:t>
            </w:r>
          </w:p>
        </w:tc>
        <w:tc>
          <w:tcPr>
            <w:tcW w:w="1516" w:type="dxa"/>
            <w:vAlign w:val="center"/>
          </w:tcPr>
          <w:p w14:paraId="2A1C0433"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Conditional Accounting Conservatism</w:t>
            </w:r>
          </w:p>
        </w:tc>
      </w:tr>
      <w:tr w:rsidR="00146D68" w:rsidRPr="00C862C2" w14:paraId="31CF89AE" w14:textId="77777777" w:rsidTr="00146D68">
        <w:tc>
          <w:tcPr>
            <w:tcW w:w="1531" w:type="dxa"/>
            <w:vAlign w:val="center"/>
          </w:tcPr>
          <w:p w14:paraId="37872E12"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0.109086</w:t>
            </w:r>
          </w:p>
        </w:tc>
        <w:tc>
          <w:tcPr>
            <w:tcW w:w="1280" w:type="dxa"/>
            <w:vAlign w:val="center"/>
          </w:tcPr>
          <w:p w14:paraId="57FF3D82"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0.058824</w:t>
            </w:r>
          </w:p>
        </w:tc>
        <w:tc>
          <w:tcPr>
            <w:tcW w:w="1277" w:type="dxa"/>
            <w:vAlign w:val="center"/>
          </w:tcPr>
          <w:p w14:paraId="75E77D50"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0.882353</w:t>
            </w:r>
          </w:p>
        </w:tc>
        <w:tc>
          <w:tcPr>
            <w:tcW w:w="1251" w:type="dxa"/>
            <w:vAlign w:val="center"/>
          </w:tcPr>
          <w:p w14:paraId="4CBF6524"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0.117647</w:t>
            </w:r>
          </w:p>
        </w:tc>
        <w:tc>
          <w:tcPr>
            <w:tcW w:w="1251" w:type="dxa"/>
            <w:vAlign w:val="center"/>
          </w:tcPr>
          <w:p w14:paraId="6597F250"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0.169903</w:t>
            </w:r>
          </w:p>
        </w:tc>
        <w:tc>
          <w:tcPr>
            <w:tcW w:w="1243" w:type="dxa"/>
            <w:vAlign w:val="center"/>
          </w:tcPr>
          <w:p w14:paraId="1137D7E8"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ED</w:t>
            </w:r>
          </w:p>
        </w:tc>
        <w:tc>
          <w:tcPr>
            <w:tcW w:w="1516" w:type="dxa"/>
            <w:vAlign w:val="center"/>
          </w:tcPr>
          <w:p w14:paraId="2662A7E3"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Environmental Disclosure</w:t>
            </w:r>
          </w:p>
        </w:tc>
      </w:tr>
      <w:tr w:rsidR="00146D68" w:rsidRPr="00C862C2" w14:paraId="783D919E" w14:textId="77777777" w:rsidTr="00146D68">
        <w:tc>
          <w:tcPr>
            <w:tcW w:w="1531" w:type="dxa"/>
            <w:vAlign w:val="center"/>
          </w:tcPr>
          <w:p w14:paraId="01E1A65E"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1.526346</w:t>
            </w:r>
          </w:p>
        </w:tc>
        <w:tc>
          <w:tcPr>
            <w:tcW w:w="1280" w:type="dxa"/>
            <w:vAlign w:val="center"/>
          </w:tcPr>
          <w:p w14:paraId="48B80292"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10.53295</w:t>
            </w:r>
          </w:p>
        </w:tc>
        <w:tc>
          <w:tcPr>
            <w:tcW w:w="1277" w:type="dxa"/>
            <w:vAlign w:val="center"/>
          </w:tcPr>
          <w:p w14:paraId="56476B24"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20.76869</w:t>
            </w:r>
          </w:p>
        </w:tc>
        <w:tc>
          <w:tcPr>
            <w:tcW w:w="1251" w:type="dxa"/>
            <w:vAlign w:val="center"/>
          </w:tcPr>
          <w:p w14:paraId="0CE6153B"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14.46085</w:t>
            </w:r>
          </w:p>
        </w:tc>
        <w:tc>
          <w:tcPr>
            <w:tcW w:w="1251" w:type="dxa"/>
            <w:vAlign w:val="center"/>
          </w:tcPr>
          <w:p w14:paraId="71C9210B"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14.62571</w:t>
            </w:r>
          </w:p>
        </w:tc>
        <w:tc>
          <w:tcPr>
            <w:tcW w:w="1243" w:type="dxa"/>
            <w:vAlign w:val="center"/>
          </w:tcPr>
          <w:p w14:paraId="4C058E11"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SIZE</w:t>
            </w:r>
          </w:p>
        </w:tc>
        <w:tc>
          <w:tcPr>
            <w:tcW w:w="1516" w:type="dxa"/>
            <w:vAlign w:val="center"/>
          </w:tcPr>
          <w:p w14:paraId="0C2811BF" w14:textId="77777777" w:rsidR="00146D68" w:rsidRPr="00C862C2" w:rsidRDefault="00146D68" w:rsidP="00C862C2">
            <w:pPr>
              <w:rPr>
                <w:rFonts w:ascii="Times New Roman" w:hAnsi="Times New Roman" w:cs="Times New Roman"/>
              </w:rPr>
            </w:pPr>
            <w:r w:rsidRPr="00C862C2">
              <w:rPr>
                <w:rFonts w:ascii="Times New Roman" w:hAnsi="Times New Roman" w:cs="Times New Roman"/>
              </w:rPr>
              <w:t>Size</w:t>
            </w:r>
          </w:p>
        </w:tc>
      </w:tr>
      <w:tr w:rsidR="00146D68" w:rsidRPr="00C862C2" w14:paraId="7F8C3EED" w14:textId="77777777" w:rsidTr="00146D68">
        <w:tc>
          <w:tcPr>
            <w:tcW w:w="1531" w:type="dxa"/>
            <w:vAlign w:val="center"/>
          </w:tcPr>
          <w:p w14:paraId="6D08544E"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0.194031</w:t>
            </w:r>
          </w:p>
        </w:tc>
        <w:tc>
          <w:tcPr>
            <w:tcW w:w="1280" w:type="dxa"/>
            <w:vAlign w:val="center"/>
          </w:tcPr>
          <w:p w14:paraId="7397228D"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0.012733</w:t>
            </w:r>
          </w:p>
        </w:tc>
        <w:tc>
          <w:tcPr>
            <w:tcW w:w="1277" w:type="dxa"/>
            <w:vAlign w:val="center"/>
          </w:tcPr>
          <w:p w14:paraId="081582EC"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0.986760</w:t>
            </w:r>
          </w:p>
        </w:tc>
        <w:tc>
          <w:tcPr>
            <w:tcW w:w="1251" w:type="dxa"/>
            <w:vAlign w:val="center"/>
          </w:tcPr>
          <w:p w14:paraId="3C4C496A"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0.539518</w:t>
            </w:r>
          </w:p>
        </w:tc>
        <w:tc>
          <w:tcPr>
            <w:tcW w:w="1251" w:type="dxa"/>
            <w:vAlign w:val="center"/>
          </w:tcPr>
          <w:p w14:paraId="55A92B64"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0.529607</w:t>
            </w:r>
          </w:p>
        </w:tc>
        <w:tc>
          <w:tcPr>
            <w:tcW w:w="1243" w:type="dxa"/>
            <w:vAlign w:val="center"/>
          </w:tcPr>
          <w:p w14:paraId="55F28AE5"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LEV</w:t>
            </w:r>
          </w:p>
        </w:tc>
        <w:tc>
          <w:tcPr>
            <w:tcW w:w="1516" w:type="dxa"/>
            <w:vAlign w:val="center"/>
          </w:tcPr>
          <w:p w14:paraId="54C75ECA"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Financial Leverage</w:t>
            </w:r>
          </w:p>
        </w:tc>
      </w:tr>
      <w:tr w:rsidR="00146D68" w:rsidRPr="00C862C2" w14:paraId="6F297E90" w14:textId="77777777" w:rsidTr="00146D68">
        <w:tc>
          <w:tcPr>
            <w:tcW w:w="1531" w:type="dxa"/>
            <w:vAlign w:val="center"/>
          </w:tcPr>
          <w:p w14:paraId="4256F83E"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0.148256</w:t>
            </w:r>
          </w:p>
        </w:tc>
        <w:tc>
          <w:tcPr>
            <w:tcW w:w="1280" w:type="dxa"/>
            <w:vAlign w:val="center"/>
          </w:tcPr>
          <w:p w14:paraId="1D7E3CF7"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-0.297729</w:t>
            </w:r>
          </w:p>
        </w:tc>
        <w:tc>
          <w:tcPr>
            <w:tcW w:w="1277" w:type="dxa"/>
            <w:vAlign w:val="center"/>
          </w:tcPr>
          <w:p w14:paraId="0EF58C6D"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0.681977</w:t>
            </w:r>
          </w:p>
        </w:tc>
        <w:tc>
          <w:tcPr>
            <w:tcW w:w="1251" w:type="dxa"/>
            <w:vAlign w:val="center"/>
          </w:tcPr>
          <w:p w14:paraId="7D18EA04"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0.124649</w:t>
            </w:r>
          </w:p>
        </w:tc>
        <w:tc>
          <w:tcPr>
            <w:tcW w:w="1251" w:type="dxa"/>
            <w:vAlign w:val="center"/>
          </w:tcPr>
          <w:p w14:paraId="3FD6930A"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0.152633</w:t>
            </w:r>
          </w:p>
        </w:tc>
        <w:tc>
          <w:tcPr>
            <w:tcW w:w="1243" w:type="dxa"/>
            <w:vAlign w:val="center"/>
          </w:tcPr>
          <w:p w14:paraId="25D3BC94"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ROA</w:t>
            </w:r>
          </w:p>
        </w:tc>
        <w:tc>
          <w:tcPr>
            <w:tcW w:w="1516" w:type="dxa"/>
            <w:vAlign w:val="center"/>
          </w:tcPr>
          <w:p w14:paraId="46F63A5B"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Return on Assets</w:t>
            </w:r>
          </w:p>
        </w:tc>
      </w:tr>
      <w:tr w:rsidR="00146D68" w:rsidRPr="00C862C2" w14:paraId="3DDBB1E2" w14:textId="77777777" w:rsidTr="00146D68">
        <w:tc>
          <w:tcPr>
            <w:tcW w:w="1531" w:type="dxa"/>
            <w:vAlign w:val="center"/>
          </w:tcPr>
          <w:p w14:paraId="25E93B6C"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0.140263</w:t>
            </w:r>
          </w:p>
        </w:tc>
        <w:tc>
          <w:tcPr>
            <w:tcW w:w="1280" w:type="dxa"/>
            <w:vAlign w:val="center"/>
          </w:tcPr>
          <w:p w14:paraId="7F99614B"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-0.460088</w:t>
            </w:r>
          </w:p>
        </w:tc>
        <w:tc>
          <w:tcPr>
            <w:tcW w:w="1277" w:type="dxa"/>
            <w:vAlign w:val="center"/>
          </w:tcPr>
          <w:p w14:paraId="3A3669E4"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0.726654</w:t>
            </w:r>
          </w:p>
        </w:tc>
        <w:tc>
          <w:tcPr>
            <w:tcW w:w="1251" w:type="dxa"/>
            <w:vAlign w:val="center"/>
          </w:tcPr>
          <w:p w14:paraId="54891C2E"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0.104163</w:t>
            </w:r>
          </w:p>
        </w:tc>
        <w:tc>
          <w:tcPr>
            <w:tcW w:w="1251" w:type="dxa"/>
            <w:vAlign w:val="center"/>
          </w:tcPr>
          <w:p w14:paraId="2B0AEE13"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0.122098</w:t>
            </w:r>
          </w:p>
        </w:tc>
        <w:tc>
          <w:tcPr>
            <w:tcW w:w="1243" w:type="dxa"/>
            <w:vAlign w:val="center"/>
          </w:tcPr>
          <w:p w14:paraId="5D5C0ED1"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OCF</w:t>
            </w:r>
          </w:p>
        </w:tc>
        <w:tc>
          <w:tcPr>
            <w:tcW w:w="1516" w:type="dxa"/>
            <w:vAlign w:val="center"/>
          </w:tcPr>
          <w:p w14:paraId="2FB13F71"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Operating Cash Flows</w:t>
            </w:r>
          </w:p>
        </w:tc>
      </w:tr>
      <w:tr w:rsidR="00146D68" w:rsidRPr="00C862C2" w14:paraId="29860EA5" w14:textId="77777777" w:rsidTr="00146D68">
        <w:tc>
          <w:tcPr>
            <w:tcW w:w="1531" w:type="dxa"/>
            <w:vAlign w:val="center"/>
          </w:tcPr>
          <w:p w14:paraId="30441128"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0.474249</w:t>
            </w:r>
          </w:p>
        </w:tc>
        <w:tc>
          <w:tcPr>
            <w:tcW w:w="1280" w:type="dxa"/>
            <w:vAlign w:val="center"/>
          </w:tcPr>
          <w:p w14:paraId="3E52EE25"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-0.909189</w:t>
            </w:r>
          </w:p>
        </w:tc>
        <w:tc>
          <w:tcPr>
            <w:tcW w:w="1277" w:type="dxa"/>
            <w:vAlign w:val="center"/>
          </w:tcPr>
          <w:p w14:paraId="0E86C747"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3.579455</w:t>
            </w:r>
          </w:p>
        </w:tc>
        <w:tc>
          <w:tcPr>
            <w:tcW w:w="1251" w:type="dxa"/>
            <w:vAlign w:val="center"/>
          </w:tcPr>
          <w:p w14:paraId="6397AD5B"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0.230782</w:t>
            </w:r>
          </w:p>
        </w:tc>
        <w:tc>
          <w:tcPr>
            <w:tcW w:w="1251" w:type="dxa"/>
            <w:vAlign w:val="center"/>
          </w:tcPr>
          <w:p w14:paraId="4CE26F99"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0.254304</w:t>
            </w:r>
          </w:p>
        </w:tc>
        <w:tc>
          <w:tcPr>
            <w:tcW w:w="1243" w:type="dxa"/>
            <w:vAlign w:val="center"/>
          </w:tcPr>
          <w:p w14:paraId="25E01DDF"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SG</w:t>
            </w:r>
          </w:p>
        </w:tc>
        <w:tc>
          <w:tcPr>
            <w:tcW w:w="1516" w:type="dxa"/>
            <w:vAlign w:val="center"/>
          </w:tcPr>
          <w:p w14:paraId="21E6ACF6"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Sales Growth</w:t>
            </w:r>
          </w:p>
        </w:tc>
      </w:tr>
      <w:tr w:rsidR="00146D68" w:rsidRPr="00C862C2" w14:paraId="0DFCA36B" w14:textId="77777777" w:rsidTr="00146D68">
        <w:tc>
          <w:tcPr>
            <w:tcW w:w="1531" w:type="dxa"/>
            <w:vAlign w:val="center"/>
          </w:tcPr>
          <w:p w14:paraId="16EC890A" w14:textId="77777777" w:rsidR="00146D68" w:rsidRPr="00C862C2" w:rsidRDefault="00146D68" w:rsidP="00C862C2">
            <w:pPr>
              <w:jc w:val="both"/>
              <w:rPr>
                <w:rFonts w:ascii="Times New Roman" w:hAnsi="Times New Roman" w:cs="Times New Roman"/>
                <w:rtl/>
              </w:rPr>
            </w:pPr>
            <w:r w:rsidRPr="00C862C2">
              <w:rPr>
                <w:rFonts w:ascii="Times New Roman" w:hAnsi="Times New Roman" w:cs="Times New Roman"/>
                <w:shd w:val="clear" w:color="auto" w:fill="FFFFFF"/>
              </w:rPr>
              <w:t>0.430067</w:t>
            </w:r>
          </w:p>
        </w:tc>
        <w:tc>
          <w:tcPr>
            <w:tcW w:w="1280" w:type="dxa"/>
            <w:vAlign w:val="center"/>
          </w:tcPr>
          <w:p w14:paraId="0B5207D9" w14:textId="77777777" w:rsidR="00146D68" w:rsidRPr="00C862C2" w:rsidRDefault="00146D68" w:rsidP="00C862C2">
            <w:pPr>
              <w:jc w:val="both"/>
              <w:rPr>
                <w:rFonts w:ascii="Times New Roman" w:hAnsi="Times New Roman" w:cs="Times New Roman"/>
                <w:rtl/>
              </w:rPr>
            </w:pPr>
            <w:r w:rsidRPr="00C862C2">
              <w:rPr>
                <w:rFonts w:ascii="Times New Roman" w:hAnsi="Times New Roman" w:cs="Times New Roman"/>
                <w:shd w:val="clear" w:color="auto" w:fill="FFFFFF"/>
              </w:rPr>
              <w:t>0.000000</w:t>
            </w:r>
          </w:p>
        </w:tc>
        <w:tc>
          <w:tcPr>
            <w:tcW w:w="1277" w:type="dxa"/>
            <w:vAlign w:val="center"/>
          </w:tcPr>
          <w:p w14:paraId="6503C0AF" w14:textId="77777777" w:rsidR="00146D68" w:rsidRPr="00C862C2" w:rsidRDefault="00146D68" w:rsidP="00C862C2">
            <w:pPr>
              <w:jc w:val="both"/>
              <w:rPr>
                <w:rFonts w:ascii="Times New Roman" w:hAnsi="Times New Roman" w:cs="Times New Roman"/>
                <w:rtl/>
              </w:rPr>
            </w:pPr>
            <w:r w:rsidRPr="00C862C2">
              <w:rPr>
                <w:rFonts w:ascii="Times New Roman" w:hAnsi="Times New Roman" w:cs="Times New Roman"/>
                <w:shd w:val="clear" w:color="auto" w:fill="FFFFFF"/>
              </w:rPr>
              <w:t>1.000000</w:t>
            </w:r>
          </w:p>
        </w:tc>
        <w:tc>
          <w:tcPr>
            <w:tcW w:w="1251" w:type="dxa"/>
            <w:vAlign w:val="center"/>
          </w:tcPr>
          <w:p w14:paraId="5C03E3E5" w14:textId="77777777" w:rsidR="00146D68" w:rsidRPr="00C862C2" w:rsidRDefault="00146D68" w:rsidP="00C862C2">
            <w:pPr>
              <w:jc w:val="both"/>
              <w:rPr>
                <w:rFonts w:ascii="Times New Roman" w:hAnsi="Times New Roman" w:cs="Times New Roman"/>
                <w:rtl/>
              </w:rPr>
            </w:pPr>
            <w:r w:rsidRPr="00C862C2">
              <w:rPr>
                <w:rFonts w:ascii="Times New Roman" w:hAnsi="Times New Roman" w:cs="Times New Roman"/>
                <w:shd w:val="clear" w:color="auto" w:fill="FFFFFF"/>
              </w:rPr>
              <w:t>0.000000</w:t>
            </w:r>
          </w:p>
        </w:tc>
        <w:tc>
          <w:tcPr>
            <w:tcW w:w="1251" w:type="dxa"/>
            <w:vAlign w:val="center"/>
          </w:tcPr>
          <w:p w14:paraId="1C4ABEBB" w14:textId="77777777" w:rsidR="00146D68" w:rsidRPr="00C862C2" w:rsidRDefault="00146D68" w:rsidP="00C862C2">
            <w:pPr>
              <w:jc w:val="both"/>
              <w:rPr>
                <w:rFonts w:ascii="Times New Roman" w:hAnsi="Times New Roman" w:cs="Times New Roman"/>
                <w:rtl/>
              </w:rPr>
            </w:pPr>
            <w:r w:rsidRPr="00C862C2">
              <w:rPr>
                <w:rFonts w:ascii="Times New Roman" w:hAnsi="Times New Roman" w:cs="Times New Roman"/>
                <w:shd w:val="clear" w:color="auto" w:fill="FFFFFF"/>
              </w:rPr>
              <w:t>0.244643</w:t>
            </w:r>
          </w:p>
        </w:tc>
        <w:tc>
          <w:tcPr>
            <w:tcW w:w="1243" w:type="dxa"/>
            <w:vAlign w:val="center"/>
          </w:tcPr>
          <w:p w14:paraId="7A83CD0B" w14:textId="77777777" w:rsidR="00146D68" w:rsidRPr="00C862C2" w:rsidRDefault="00146D68" w:rsidP="00C862C2">
            <w:pPr>
              <w:jc w:val="both"/>
              <w:rPr>
                <w:rFonts w:ascii="Times New Roman" w:hAnsi="Times New Roman" w:cs="Times New Roman"/>
                <w:rtl/>
              </w:rPr>
            </w:pPr>
            <w:r w:rsidRPr="00C862C2">
              <w:rPr>
                <w:rFonts w:ascii="Times New Roman" w:hAnsi="Times New Roman" w:cs="Times New Roman"/>
              </w:rPr>
              <w:t>BIG</w:t>
            </w:r>
          </w:p>
        </w:tc>
        <w:tc>
          <w:tcPr>
            <w:tcW w:w="1516" w:type="dxa"/>
            <w:vAlign w:val="center"/>
          </w:tcPr>
          <w:p w14:paraId="2D5E1948" w14:textId="77777777" w:rsidR="00146D68" w:rsidRPr="00C862C2" w:rsidRDefault="00146D68" w:rsidP="00C862C2">
            <w:pPr>
              <w:jc w:val="both"/>
              <w:rPr>
                <w:rFonts w:ascii="Times New Roman" w:hAnsi="Times New Roman" w:cs="Times New Roman"/>
              </w:rPr>
            </w:pPr>
            <w:r w:rsidRPr="00C862C2">
              <w:rPr>
                <w:rFonts w:ascii="Times New Roman" w:hAnsi="Times New Roman" w:cs="Times New Roman"/>
              </w:rPr>
              <w:t>Auditor Type</w:t>
            </w:r>
          </w:p>
        </w:tc>
      </w:tr>
    </w:tbl>
    <w:p w14:paraId="2D7E6499" w14:textId="77777777" w:rsidR="00B74C89" w:rsidRPr="00C862C2" w:rsidRDefault="00B74C89" w:rsidP="00C862C2">
      <w:pPr>
        <w:spacing w:after="0" w:line="240" w:lineRule="auto"/>
        <w:jc w:val="both"/>
        <w:rPr>
          <w:rFonts w:ascii="Times New Roman" w:eastAsia="Times New Roman" w:hAnsi="Times New Roman" w:cs="Times New Roman"/>
        </w:rPr>
      </w:pPr>
    </w:p>
    <w:p w14:paraId="64E62024" w14:textId="451BA905" w:rsidR="00475B92" w:rsidRDefault="00214CA4" w:rsidP="00C862C2">
      <w:pPr>
        <w:spacing w:after="0" w:line="240" w:lineRule="auto"/>
        <w:jc w:val="both"/>
        <w:outlineLvl w:val="2"/>
        <w:rPr>
          <w:rFonts w:ascii="Times New Roman" w:eastAsia="Times New Roman" w:hAnsi="Times New Roman" w:cs="Times New Roman"/>
          <w:b/>
          <w:bCs/>
        </w:rPr>
      </w:pPr>
      <w:r w:rsidRPr="00C862C2">
        <w:rPr>
          <w:rFonts w:ascii="Times New Roman" w:eastAsia="Times New Roman" w:hAnsi="Times New Roman" w:cs="Times New Roman"/>
          <w:b/>
          <w:bCs/>
        </w:rPr>
        <w:t>4.2.</w:t>
      </w:r>
      <w:r w:rsidR="008015BF" w:rsidRPr="00C862C2">
        <w:rPr>
          <w:rFonts w:ascii="Times New Roman" w:eastAsia="Times New Roman" w:hAnsi="Times New Roman" w:cs="Times New Roman"/>
          <w:b/>
          <w:bCs/>
        </w:rPr>
        <w:t xml:space="preserve"> </w:t>
      </w:r>
      <w:r w:rsidR="00B74C89" w:rsidRPr="00C862C2">
        <w:rPr>
          <w:rFonts w:ascii="Times New Roman" w:eastAsia="Times New Roman" w:hAnsi="Times New Roman" w:cs="Times New Roman"/>
          <w:b/>
          <w:bCs/>
        </w:rPr>
        <w:t>Inferential Statistics</w:t>
      </w:r>
    </w:p>
    <w:p w14:paraId="42500823" w14:textId="77777777" w:rsidR="00C862C2" w:rsidRPr="00C862C2" w:rsidRDefault="00C862C2" w:rsidP="00C862C2">
      <w:pPr>
        <w:spacing w:after="0" w:line="240" w:lineRule="auto"/>
        <w:jc w:val="both"/>
        <w:outlineLvl w:val="2"/>
        <w:rPr>
          <w:rFonts w:ascii="Times New Roman" w:eastAsia="Times New Roman" w:hAnsi="Times New Roman" w:cs="Times New Roman"/>
          <w:b/>
          <w:bCs/>
        </w:rPr>
      </w:pPr>
    </w:p>
    <w:p w14:paraId="6B6BE7C2" w14:textId="512FFD4E" w:rsidR="00B74C89" w:rsidRPr="00C862C2" w:rsidRDefault="00214CA4" w:rsidP="00C862C2">
      <w:pPr>
        <w:spacing w:after="0" w:line="240" w:lineRule="auto"/>
        <w:jc w:val="both"/>
        <w:outlineLvl w:val="2"/>
        <w:rPr>
          <w:rFonts w:ascii="Times New Roman" w:eastAsia="Times New Roman" w:hAnsi="Times New Roman" w:cs="Times New Roman"/>
          <w:b/>
          <w:bCs/>
        </w:rPr>
      </w:pPr>
      <w:r w:rsidRPr="00C862C2">
        <w:rPr>
          <w:rFonts w:ascii="Times New Roman" w:eastAsia="Times New Roman" w:hAnsi="Times New Roman" w:cs="Times New Roman"/>
          <w:b/>
          <w:bCs/>
        </w:rPr>
        <w:t>4.2.</w:t>
      </w:r>
      <w:r w:rsidR="008015BF" w:rsidRPr="00C862C2">
        <w:rPr>
          <w:rFonts w:ascii="Times New Roman" w:eastAsia="Times New Roman" w:hAnsi="Times New Roman" w:cs="Times New Roman"/>
          <w:b/>
          <w:bCs/>
        </w:rPr>
        <w:t xml:space="preserve"> </w:t>
      </w:r>
      <w:r w:rsidRPr="00C862C2">
        <w:rPr>
          <w:rFonts w:ascii="Times New Roman" w:eastAsia="Times New Roman" w:hAnsi="Times New Roman" w:cs="Times New Roman"/>
          <w:b/>
          <w:bCs/>
        </w:rPr>
        <w:t>1.</w:t>
      </w:r>
      <w:r w:rsidR="00B74C89" w:rsidRPr="00C862C2">
        <w:rPr>
          <w:rFonts w:ascii="Times New Roman" w:eastAsia="Times New Roman" w:hAnsi="Times New Roman" w:cs="Times New Roman"/>
          <w:b/>
          <w:bCs/>
        </w:rPr>
        <w:t>Correlation Coefficient</w:t>
      </w:r>
    </w:p>
    <w:p w14:paraId="25A6DFC9" w14:textId="77777777" w:rsidR="00B74C89" w:rsidRPr="00C862C2" w:rsidRDefault="00B74C89"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 xml:space="preserve">The results of the Pearson correlation test are presented in Table (4). As can be observed, significant correlations exist in some cases. Additionally, a small number of </w:t>
      </w:r>
      <w:r w:rsidR="00AB5D18" w:rsidRPr="00C862C2">
        <w:rPr>
          <w:rFonts w:ascii="Times New Roman" w:eastAsia="Times New Roman" w:hAnsi="Times New Roman" w:cs="Times New Roman"/>
        </w:rPr>
        <w:t>pair wise</w:t>
      </w:r>
      <w:r w:rsidRPr="00C862C2">
        <w:rPr>
          <w:rFonts w:ascii="Times New Roman" w:eastAsia="Times New Roman" w:hAnsi="Times New Roman" w:cs="Times New Roman"/>
        </w:rPr>
        <w:t xml:space="preserve"> variables show statistically significant correlations; however, these correlations are not strong enough to cause multicollinearity. In other words, the subsequent analyses do not suffer from methodological issues regarding variable relationships, as strong correlations among explanatory variables could lead to multicollinearity and consequently yield unreliable regression estimates.</w:t>
      </w:r>
    </w:p>
    <w:p w14:paraId="0B77D8AC" w14:textId="77777777" w:rsidR="00146D68" w:rsidRPr="00C862C2" w:rsidRDefault="00146D68" w:rsidP="00C862C2">
      <w:pPr>
        <w:spacing w:after="0" w:line="240" w:lineRule="auto"/>
        <w:jc w:val="both"/>
        <w:rPr>
          <w:rFonts w:ascii="Times New Roman" w:eastAsia="Times New Roman" w:hAnsi="Times New Roman" w:cs="Times New Roman"/>
        </w:rPr>
      </w:pPr>
    </w:p>
    <w:p w14:paraId="7738EA21" w14:textId="1BAB8975" w:rsidR="00146D68" w:rsidRPr="00C862C2" w:rsidRDefault="00146D68" w:rsidP="00C862C2">
      <w:pPr>
        <w:spacing w:after="0" w:line="240" w:lineRule="auto"/>
        <w:jc w:val="both"/>
        <w:rPr>
          <w:rFonts w:ascii="Times New Roman" w:hAnsi="Times New Roman" w:cs="Times New Roman"/>
        </w:rPr>
      </w:pPr>
      <w:r w:rsidRPr="00C862C2">
        <w:rPr>
          <w:rFonts w:ascii="Times New Roman" w:hAnsi="Times New Roman" w:cs="Times New Roman"/>
          <w:b/>
          <w:bCs/>
        </w:rPr>
        <w:t>Table 4.</w:t>
      </w:r>
      <w:r w:rsidRPr="00C862C2">
        <w:rPr>
          <w:rFonts w:ascii="Times New Roman" w:hAnsi="Times New Roman" w:cs="Times New Roman"/>
        </w:rPr>
        <w:t xml:space="preserve"> Correlation Coefficient Test Results</w:t>
      </w:r>
    </w:p>
    <w:tbl>
      <w:tblPr>
        <w:tblStyle w:val="TableGrid"/>
        <w:tblW w:w="9027" w:type="dxa"/>
        <w:jc w:val="center"/>
        <w:tblLook w:val="0000" w:firstRow="0" w:lastRow="0" w:firstColumn="0" w:lastColumn="0" w:noHBand="0" w:noVBand="0"/>
      </w:tblPr>
      <w:tblGrid>
        <w:gridCol w:w="983"/>
        <w:gridCol w:w="923"/>
        <w:gridCol w:w="990"/>
        <w:gridCol w:w="922"/>
        <w:gridCol w:w="922"/>
        <w:gridCol w:w="922"/>
        <w:gridCol w:w="922"/>
        <w:gridCol w:w="922"/>
        <w:gridCol w:w="922"/>
        <w:gridCol w:w="922"/>
      </w:tblGrid>
      <w:tr w:rsidR="00146D68" w:rsidRPr="00C862C2" w14:paraId="367C567E" w14:textId="77777777" w:rsidTr="00C862C2">
        <w:trPr>
          <w:trHeight w:val="215"/>
          <w:jc w:val="center"/>
        </w:trPr>
        <w:tc>
          <w:tcPr>
            <w:tcW w:w="0" w:type="auto"/>
            <w:vAlign w:val="center"/>
          </w:tcPr>
          <w:p w14:paraId="5D7AF34A" w14:textId="77777777" w:rsidR="00146D68" w:rsidRPr="00C862C2" w:rsidRDefault="00146D68" w:rsidP="00C862C2">
            <w:pPr>
              <w:autoSpaceDE w:val="0"/>
              <w:autoSpaceDN w:val="0"/>
              <w:adjustRightInd w:val="0"/>
              <w:rPr>
                <w:rFonts w:ascii="Times New Roman" w:hAnsi="Times New Roman" w:cs="Times New Roman"/>
                <w:lang w:bidi="ar-SA"/>
              </w:rPr>
            </w:pPr>
          </w:p>
        </w:tc>
        <w:tc>
          <w:tcPr>
            <w:tcW w:w="0" w:type="auto"/>
            <w:vAlign w:val="center"/>
          </w:tcPr>
          <w:p w14:paraId="50D44F19"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CCONS</w:t>
            </w:r>
          </w:p>
        </w:tc>
        <w:tc>
          <w:tcPr>
            <w:tcW w:w="0" w:type="auto"/>
            <w:vAlign w:val="center"/>
          </w:tcPr>
          <w:p w14:paraId="7BEB5D87"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UNCONS</w:t>
            </w:r>
          </w:p>
        </w:tc>
        <w:tc>
          <w:tcPr>
            <w:tcW w:w="0" w:type="auto"/>
            <w:vAlign w:val="center"/>
          </w:tcPr>
          <w:p w14:paraId="0F6FF005"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ED</w:t>
            </w:r>
          </w:p>
        </w:tc>
        <w:tc>
          <w:tcPr>
            <w:tcW w:w="0" w:type="auto"/>
            <w:vAlign w:val="center"/>
          </w:tcPr>
          <w:p w14:paraId="5457998D"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SIZE</w:t>
            </w:r>
          </w:p>
        </w:tc>
        <w:tc>
          <w:tcPr>
            <w:tcW w:w="0" w:type="auto"/>
            <w:vAlign w:val="center"/>
          </w:tcPr>
          <w:p w14:paraId="3FAA96BB"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LEV</w:t>
            </w:r>
          </w:p>
        </w:tc>
        <w:tc>
          <w:tcPr>
            <w:tcW w:w="0" w:type="auto"/>
            <w:vAlign w:val="center"/>
          </w:tcPr>
          <w:p w14:paraId="0E655BFA"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ROA</w:t>
            </w:r>
          </w:p>
        </w:tc>
        <w:tc>
          <w:tcPr>
            <w:tcW w:w="0" w:type="auto"/>
            <w:vAlign w:val="center"/>
          </w:tcPr>
          <w:p w14:paraId="618649B4"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OCF</w:t>
            </w:r>
          </w:p>
        </w:tc>
        <w:tc>
          <w:tcPr>
            <w:tcW w:w="0" w:type="auto"/>
            <w:vAlign w:val="center"/>
          </w:tcPr>
          <w:p w14:paraId="77C66DF5"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SG</w:t>
            </w:r>
          </w:p>
        </w:tc>
        <w:tc>
          <w:tcPr>
            <w:tcW w:w="0" w:type="auto"/>
            <w:vAlign w:val="center"/>
          </w:tcPr>
          <w:p w14:paraId="12753B9B"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BIG</w:t>
            </w:r>
          </w:p>
        </w:tc>
      </w:tr>
      <w:tr w:rsidR="00146D68" w:rsidRPr="00C862C2" w14:paraId="7C39C01E" w14:textId="77777777" w:rsidTr="00C862C2">
        <w:trPr>
          <w:trHeight w:val="73"/>
          <w:jc w:val="center"/>
        </w:trPr>
        <w:tc>
          <w:tcPr>
            <w:tcW w:w="0" w:type="auto"/>
            <w:vAlign w:val="center"/>
          </w:tcPr>
          <w:p w14:paraId="5B0EE78E" w14:textId="77777777" w:rsidR="00146D68" w:rsidRPr="00C862C2" w:rsidRDefault="00146D68" w:rsidP="00C862C2">
            <w:pPr>
              <w:autoSpaceDE w:val="0"/>
              <w:autoSpaceDN w:val="0"/>
              <w:adjustRightInd w:val="0"/>
              <w:rPr>
                <w:rFonts w:ascii="Times New Roman" w:hAnsi="Times New Roman" w:cs="Times New Roman"/>
                <w:lang w:bidi="ar-SA"/>
              </w:rPr>
            </w:pPr>
            <w:r w:rsidRPr="00C862C2">
              <w:rPr>
                <w:rFonts w:ascii="Times New Roman" w:hAnsi="Times New Roman" w:cs="Times New Roman"/>
                <w:lang w:bidi="ar-SA"/>
              </w:rPr>
              <w:t>CCONS</w:t>
            </w:r>
          </w:p>
        </w:tc>
        <w:tc>
          <w:tcPr>
            <w:tcW w:w="0" w:type="auto"/>
            <w:vAlign w:val="center"/>
          </w:tcPr>
          <w:p w14:paraId="65D60CDF"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1.000000</w:t>
            </w:r>
          </w:p>
        </w:tc>
        <w:tc>
          <w:tcPr>
            <w:tcW w:w="0" w:type="auto"/>
            <w:vAlign w:val="center"/>
          </w:tcPr>
          <w:p w14:paraId="5FB8C27E"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4E0A42CD"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7AB182F1"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06F95AE7"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2721136E"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3AF32FB0"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1E794CC7"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2E833FF7"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1B875066" w14:textId="77777777" w:rsidTr="00C862C2">
        <w:trPr>
          <w:trHeight w:val="73"/>
          <w:jc w:val="center"/>
        </w:trPr>
        <w:tc>
          <w:tcPr>
            <w:tcW w:w="0" w:type="auto"/>
            <w:vAlign w:val="center"/>
          </w:tcPr>
          <w:p w14:paraId="4E8C337C" w14:textId="77777777" w:rsidR="00146D68" w:rsidRPr="00C862C2" w:rsidRDefault="00146D68" w:rsidP="00C862C2">
            <w:pPr>
              <w:autoSpaceDE w:val="0"/>
              <w:autoSpaceDN w:val="0"/>
              <w:adjustRightInd w:val="0"/>
              <w:rPr>
                <w:rFonts w:ascii="Times New Roman" w:hAnsi="Times New Roman" w:cs="Times New Roman"/>
                <w:lang w:bidi="ar-SA"/>
              </w:rPr>
            </w:pPr>
            <w:r w:rsidRPr="00C862C2">
              <w:rPr>
                <w:rFonts w:ascii="Times New Roman" w:hAnsi="Times New Roman" w:cs="Times New Roman"/>
                <w:lang w:bidi="ar-SA"/>
              </w:rPr>
              <w:t>UNCONS</w:t>
            </w:r>
          </w:p>
        </w:tc>
        <w:tc>
          <w:tcPr>
            <w:tcW w:w="0" w:type="auto"/>
            <w:vAlign w:val="center"/>
          </w:tcPr>
          <w:p w14:paraId="73A00E29"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-0.023216</w:t>
            </w:r>
          </w:p>
        </w:tc>
        <w:tc>
          <w:tcPr>
            <w:tcW w:w="0" w:type="auto"/>
            <w:vAlign w:val="center"/>
          </w:tcPr>
          <w:p w14:paraId="5E4C2D3C"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1.000000</w:t>
            </w:r>
          </w:p>
        </w:tc>
        <w:tc>
          <w:tcPr>
            <w:tcW w:w="0" w:type="auto"/>
            <w:vAlign w:val="center"/>
          </w:tcPr>
          <w:p w14:paraId="2B7037D5"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0B1AA27A"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17D7C95C"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4C549A40"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64AE5C32"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1013C6EE"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61C346FD"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05176EDE" w14:textId="77777777" w:rsidTr="00C862C2">
        <w:trPr>
          <w:trHeight w:val="73"/>
          <w:jc w:val="center"/>
        </w:trPr>
        <w:tc>
          <w:tcPr>
            <w:tcW w:w="0" w:type="auto"/>
            <w:vAlign w:val="center"/>
          </w:tcPr>
          <w:p w14:paraId="31240F87" w14:textId="77777777" w:rsidR="00146D68" w:rsidRPr="00C862C2" w:rsidRDefault="00146D68" w:rsidP="00C862C2">
            <w:pPr>
              <w:autoSpaceDE w:val="0"/>
              <w:autoSpaceDN w:val="0"/>
              <w:adjustRightInd w:val="0"/>
              <w:rPr>
                <w:rFonts w:ascii="Times New Roman" w:hAnsi="Times New Roman" w:cs="Times New Roman"/>
                <w:lang w:bidi="ar-SA"/>
              </w:rPr>
            </w:pPr>
          </w:p>
        </w:tc>
        <w:tc>
          <w:tcPr>
            <w:tcW w:w="0" w:type="auto"/>
            <w:vAlign w:val="center"/>
          </w:tcPr>
          <w:p w14:paraId="4F7489E8"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0.4986</w:t>
            </w:r>
          </w:p>
        </w:tc>
        <w:tc>
          <w:tcPr>
            <w:tcW w:w="0" w:type="auto"/>
            <w:vAlign w:val="center"/>
          </w:tcPr>
          <w:p w14:paraId="44DB5748"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w:t>
            </w:r>
          </w:p>
        </w:tc>
        <w:tc>
          <w:tcPr>
            <w:tcW w:w="0" w:type="auto"/>
            <w:vAlign w:val="center"/>
          </w:tcPr>
          <w:p w14:paraId="2DB0425E"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5DEEE87D"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3159E32B"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606CC7B4"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4836317C"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62154DDE"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66592619"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1C6E0933" w14:textId="77777777" w:rsidTr="00C862C2">
        <w:trPr>
          <w:trHeight w:val="366"/>
          <w:jc w:val="center"/>
        </w:trPr>
        <w:tc>
          <w:tcPr>
            <w:tcW w:w="0" w:type="auto"/>
            <w:vAlign w:val="center"/>
          </w:tcPr>
          <w:p w14:paraId="6F04EFB2" w14:textId="77777777" w:rsidR="00146D68" w:rsidRPr="00C862C2" w:rsidRDefault="00146D68" w:rsidP="00C862C2">
            <w:pPr>
              <w:autoSpaceDE w:val="0"/>
              <w:autoSpaceDN w:val="0"/>
              <w:adjustRightInd w:val="0"/>
              <w:rPr>
                <w:rFonts w:ascii="Times New Roman" w:hAnsi="Times New Roman" w:cs="Times New Roman"/>
                <w:lang w:bidi="ar-SA"/>
              </w:rPr>
            </w:pPr>
            <w:r w:rsidRPr="00C862C2">
              <w:rPr>
                <w:rFonts w:ascii="Times New Roman" w:hAnsi="Times New Roman" w:cs="Times New Roman"/>
                <w:lang w:bidi="ar-SA"/>
              </w:rPr>
              <w:t>ED</w:t>
            </w:r>
          </w:p>
        </w:tc>
        <w:tc>
          <w:tcPr>
            <w:tcW w:w="0" w:type="auto"/>
            <w:vAlign w:val="center"/>
          </w:tcPr>
          <w:p w14:paraId="2B6C7095"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0.011277</w:t>
            </w:r>
          </w:p>
        </w:tc>
        <w:tc>
          <w:tcPr>
            <w:tcW w:w="0" w:type="auto"/>
            <w:vAlign w:val="center"/>
          </w:tcPr>
          <w:p w14:paraId="7A27D3C6"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0.022527</w:t>
            </w:r>
          </w:p>
        </w:tc>
        <w:tc>
          <w:tcPr>
            <w:tcW w:w="0" w:type="auto"/>
            <w:vAlign w:val="center"/>
          </w:tcPr>
          <w:p w14:paraId="64F4565A"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1.000000</w:t>
            </w:r>
          </w:p>
        </w:tc>
        <w:tc>
          <w:tcPr>
            <w:tcW w:w="0" w:type="auto"/>
            <w:vAlign w:val="center"/>
          </w:tcPr>
          <w:p w14:paraId="0CA1AB9E"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3141759C"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3749B7C4"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221BA8BB"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1A24CF33"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112D9306"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24DD99CD" w14:textId="77777777" w:rsidTr="00C862C2">
        <w:trPr>
          <w:trHeight w:val="73"/>
          <w:jc w:val="center"/>
        </w:trPr>
        <w:tc>
          <w:tcPr>
            <w:tcW w:w="0" w:type="auto"/>
            <w:vAlign w:val="center"/>
          </w:tcPr>
          <w:p w14:paraId="4463AFF6" w14:textId="77777777" w:rsidR="00146D68" w:rsidRPr="00C862C2" w:rsidRDefault="00146D68" w:rsidP="00C862C2">
            <w:pPr>
              <w:autoSpaceDE w:val="0"/>
              <w:autoSpaceDN w:val="0"/>
              <w:adjustRightInd w:val="0"/>
              <w:rPr>
                <w:rFonts w:ascii="Times New Roman" w:hAnsi="Times New Roman" w:cs="Times New Roman"/>
                <w:lang w:bidi="ar-SA"/>
              </w:rPr>
            </w:pPr>
          </w:p>
        </w:tc>
        <w:tc>
          <w:tcPr>
            <w:tcW w:w="0" w:type="auto"/>
            <w:vAlign w:val="center"/>
          </w:tcPr>
          <w:p w14:paraId="3F624051"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0.7424</w:t>
            </w:r>
          </w:p>
        </w:tc>
        <w:tc>
          <w:tcPr>
            <w:tcW w:w="0" w:type="auto"/>
            <w:vAlign w:val="center"/>
          </w:tcPr>
          <w:p w14:paraId="374A35FF"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0.4514</w:t>
            </w:r>
          </w:p>
        </w:tc>
        <w:tc>
          <w:tcPr>
            <w:tcW w:w="0" w:type="auto"/>
            <w:vAlign w:val="center"/>
          </w:tcPr>
          <w:p w14:paraId="350657EC"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w:t>
            </w:r>
          </w:p>
        </w:tc>
        <w:tc>
          <w:tcPr>
            <w:tcW w:w="0" w:type="auto"/>
            <w:vAlign w:val="center"/>
          </w:tcPr>
          <w:p w14:paraId="4F67BBDF"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599F2A42"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4A25146C"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0B8D4309"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455174E7"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60FEAA71"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06E48872" w14:textId="77777777" w:rsidTr="00C862C2">
        <w:trPr>
          <w:trHeight w:val="73"/>
          <w:jc w:val="center"/>
        </w:trPr>
        <w:tc>
          <w:tcPr>
            <w:tcW w:w="0" w:type="auto"/>
            <w:vAlign w:val="center"/>
          </w:tcPr>
          <w:p w14:paraId="646224C3" w14:textId="77777777" w:rsidR="00146D68" w:rsidRPr="00C862C2" w:rsidRDefault="00146D68" w:rsidP="00C862C2">
            <w:pPr>
              <w:autoSpaceDE w:val="0"/>
              <w:autoSpaceDN w:val="0"/>
              <w:adjustRightInd w:val="0"/>
              <w:rPr>
                <w:rFonts w:ascii="Times New Roman" w:hAnsi="Times New Roman" w:cs="Times New Roman"/>
                <w:lang w:bidi="ar-SA"/>
              </w:rPr>
            </w:pPr>
            <w:r w:rsidRPr="00C862C2">
              <w:rPr>
                <w:rFonts w:ascii="Times New Roman" w:hAnsi="Times New Roman" w:cs="Times New Roman"/>
                <w:lang w:bidi="ar-SA"/>
              </w:rPr>
              <w:t>SIZE</w:t>
            </w:r>
          </w:p>
        </w:tc>
        <w:tc>
          <w:tcPr>
            <w:tcW w:w="0" w:type="auto"/>
            <w:vAlign w:val="center"/>
          </w:tcPr>
          <w:p w14:paraId="24293E22"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0.053237</w:t>
            </w:r>
          </w:p>
        </w:tc>
        <w:tc>
          <w:tcPr>
            <w:tcW w:w="0" w:type="auto"/>
            <w:vAlign w:val="center"/>
          </w:tcPr>
          <w:p w14:paraId="5D416A67"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-0.024984</w:t>
            </w:r>
          </w:p>
        </w:tc>
        <w:tc>
          <w:tcPr>
            <w:tcW w:w="0" w:type="auto"/>
            <w:vAlign w:val="center"/>
          </w:tcPr>
          <w:p w14:paraId="319BD945"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-0.003217</w:t>
            </w:r>
          </w:p>
        </w:tc>
        <w:tc>
          <w:tcPr>
            <w:tcW w:w="0" w:type="auto"/>
            <w:vAlign w:val="center"/>
          </w:tcPr>
          <w:p w14:paraId="42EAFC77"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1.000000</w:t>
            </w:r>
          </w:p>
        </w:tc>
        <w:tc>
          <w:tcPr>
            <w:tcW w:w="0" w:type="auto"/>
            <w:vAlign w:val="center"/>
          </w:tcPr>
          <w:p w14:paraId="4BE4373F"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0D2859CF"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600A1F95"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7F6A789B"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32A1DE93"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47D9B433" w14:textId="77777777" w:rsidTr="00C862C2">
        <w:trPr>
          <w:trHeight w:val="89"/>
          <w:jc w:val="center"/>
        </w:trPr>
        <w:tc>
          <w:tcPr>
            <w:tcW w:w="0" w:type="auto"/>
            <w:vAlign w:val="center"/>
          </w:tcPr>
          <w:p w14:paraId="08532521" w14:textId="77777777" w:rsidR="00146D68" w:rsidRPr="00C862C2" w:rsidRDefault="00146D68" w:rsidP="00C862C2">
            <w:pPr>
              <w:autoSpaceDE w:val="0"/>
              <w:autoSpaceDN w:val="0"/>
              <w:adjustRightInd w:val="0"/>
              <w:rPr>
                <w:rFonts w:ascii="Times New Roman" w:hAnsi="Times New Roman" w:cs="Times New Roman"/>
                <w:lang w:bidi="ar-SA"/>
              </w:rPr>
            </w:pPr>
          </w:p>
        </w:tc>
        <w:tc>
          <w:tcPr>
            <w:tcW w:w="0" w:type="auto"/>
            <w:vAlign w:val="center"/>
          </w:tcPr>
          <w:p w14:paraId="78C420CD"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0.1205</w:t>
            </w:r>
          </w:p>
        </w:tc>
        <w:tc>
          <w:tcPr>
            <w:tcW w:w="0" w:type="auto"/>
            <w:vAlign w:val="center"/>
          </w:tcPr>
          <w:p w14:paraId="172B530F"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0.4035</w:t>
            </w:r>
          </w:p>
        </w:tc>
        <w:tc>
          <w:tcPr>
            <w:tcW w:w="0" w:type="auto"/>
            <w:vAlign w:val="center"/>
          </w:tcPr>
          <w:p w14:paraId="741E2037"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0.9144</w:t>
            </w:r>
          </w:p>
        </w:tc>
        <w:tc>
          <w:tcPr>
            <w:tcW w:w="0" w:type="auto"/>
            <w:vAlign w:val="center"/>
          </w:tcPr>
          <w:p w14:paraId="42C6DFE8"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w:t>
            </w:r>
          </w:p>
        </w:tc>
        <w:tc>
          <w:tcPr>
            <w:tcW w:w="0" w:type="auto"/>
            <w:vAlign w:val="center"/>
          </w:tcPr>
          <w:p w14:paraId="62889FEB"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2E6BF601"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7EC952F6"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0C8095F7"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3C05DC1A"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0ED769BD" w14:textId="77777777" w:rsidTr="00C862C2">
        <w:trPr>
          <w:trHeight w:val="73"/>
          <w:jc w:val="center"/>
        </w:trPr>
        <w:tc>
          <w:tcPr>
            <w:tcW w:w="0" w:type="auto"/>
            <w:vAlign w:val="center"/>
          </w:tcPr>
          <w:p w14:paraId="05E2F1CE" w14:textId="77777777" w:rsidR="00146D68" w:rsidRPr="00C862C2" w:rsidRDefault="00146D68" w:rsidP="00C862C2">
            <w:pPr>
              <w:autoSpaceDE w:val="0"/>
              <w:autoSpaceDN w:val="0"/>
              <w:adjustRightInd w:val="0"/>
              <w:rPr>
                <w:rFonts w:ascii="Times New Roman" w:hAnsi="Times New Roman" w:cs="Times New Roman"/>
                <w:lang w:bidi="ar-SA"/>
              </w:rPr>
            </w:pPr>
            <w:r w:rsidRPr="00C862C2">
              <w:rPr>
                <w:rFonts w:ascii="Times New Roman" w:hAnsi="Times New Roman" w:cs="Times New Roman"/>
                <w:lang w:bidi="ar-SA"/>
              </w:rPr>
              <w:t>LEV</w:t>
            </w:r>
          </w:p>
        </w:tc>
        <w:tc>
          <w:tcPr>
            <w:tcW w:w="0" w:type="auto"/>
            <w:vAlign w:val="center"/>
          </w:tcPr>
          <w:p w14:paraId="6E63272D"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-0.151727</w:t>
            </w:r>
          </w:p>
        </w:tc>
        <w:tc>
          <w:tcPr>
            <w:tcW w:w="0" w:type="auto"/>
            <w:vAlign w:val="center"/>
          </w:tcPr>
          <w:p w14:paraId="6CE2E427"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0.043809</w:t>
            </w:r>
          </w:p>
        </w:tc>
        <w:tc>
          <w:tcPr>
            <w:tcW w:w="0" w:type="auto"/>
            <w:vAlign w:val="center"/>
          </w:tcPr>
          <w:p w14:paraId="5757A148"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0.032367</w:t>
            </w:r>
          </w:p>
        </w:tc>
        <w:tc>
          <w:tcPr>
            <w:tcW w:w="0" w:type="auto"/>
            <w:vAlign w:val="center"/>
          </w:tcPr>
          <w:p w14:paraId="57D31D66"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-0.101485</w:t>
            </w:r>
          </w:p>
        </w:tc>
        <w:tc>
          <w:tcPr>
            <w:tcW w:w="0" w:type="auto"/>
            <w:vAlign w:val="center"/>
          </w:tcPr>
          <w:p w14:paraId="591BAE84"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1.000000</w:t>
            </w:r>
          </w:p>
        </w:tc>
        <w:tc>
          <w:tcPr>
            <w:tcW w:w="0" w:type="auto"/>
            <w:vAlign w:val="center"/>
          </w:tcPr>
          <w:p w14:paraId="1602DD57"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06F20EDA"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0F30762C"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51323992"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783673F2" w14:textId="77777777" w:rsidTr="00C862C2">
        <w:trPr>
          <w:trHeight w:val="73"/>
          <w:jc w:val="center"/>
        </w:trPr>
        <w:tc>
          <w:tcPr>
            <w:tcW w:w="0" w:type="auto"/>
            <w:vAlign w:val="center"/>
          </w:tcPr>
          <w:p w14:paraId="79002703" w14:textId="77777777" w:rsidR="00146D68" w:rsidRPr="00C862C2" w:rsidRDefault="00146D68" w:rsidP="00C862C2">
            <w:pPr>
              <w:autoSpaceDE w:val="0"/>
              <w:autoSpaceDN w:val="0"/>
              <w:adjustRightInd w:val="0"/>
              <w:rPr>
                <w:rFonts w:ascii="Times New Roman" w:hAnsi="Times New Roman" w:cs="Times New Roman"/>
                <w:lang w:bidi="ar-SA"/>
              </w:rPr>
            </w:pPr>
          </w:p>
        </w:tc>
        <w:tc>
          <w:tcPr>
            <w:tcW w:w="0" w:type="auto"/>
            <w:vAlign w:val="center"/>
          </w:tcPr>
          <w:p w14:paraId="15E59681"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0.0000</w:t>
            </w:r>
          </w:p>
        </w:tc>
        <w:tc>
          <w:tcPr>
            <w:tcW w:w="0" w:type="auto"/>
            <w:vAlign w:val="center"/>
          </w:tcPr>
          <w:p w14:paraId="23CB8272"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0.1429</w:t>
            </w:r>
          </w:p>
        </w:tc>
        <w:tc>
          <w:tcPr>
            <w:tcW w:w="0" w:type="auto"/>
            <w:vAlign w:val="center"/>
          </w:tcPr>
          <w:p w14:paraId="51581000"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0.2791</w:t>
            </w:r>
          </w:p>
        </w:tc>
        <w:tc>
          <w:tcPr>
            <w:tcW w:w="0" w:type="auto"/>
            <w:vAlign w:val="center"/>
          </w:tcPr>
          <w:p w14:paraId="3A6ABFDE"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0.0007</w:t>
            </w:r>
          </w:p>
        </w:tc>
        <w:tc>
          <w:tcPr>
            <w:tcW w:w="0" w:type="auto"/>
            <w:vAlign w:val="center"/>
          </w:tcPr>
          <w:p w14:paraId="2C4F88C2"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w:t>
            </w:r>
          </w:p>
        </w:tc>
        <w:tc>
          <w:tcPr>
            <w:tcW w:w="0" w:type="auto"/>
            <w:vAlign w:val="center"/>
          </w:tcPr>
          <w:p w14:paraId="023E3D8B"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28CBA06A"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26D5CEB7"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7368028B"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0564C498" w14:textId="77777777" w:rsidTr="00C862C2">
        <w:trPr>
          <w:trHeight w:val="73"/>
          <w:jc w:val="center"/>
        </w:trPr>
        <w:tc>
          <w:tcPr>
            <w:tcW w:w="0" w:type="auto"/>
            <w:vAlign w:val="center"/>
          </w:tcPr>
          <w:p w14:paraId="5C0B0904" w14:textId="77777777" w:rsidR="00146D68" w:rsidRPr="00C862C2" w:rsidRDefault="00146D68" w:rsidP="00C862C2">
            <w:pPr>
              <w:autoSpaceDE w:val="0"/>
              <w:autoSpaceDN w:val="0"/>
              <w:adjustRightInd w:val="0"/>
              <w:rPr>
                <w:rFonts w:ascii="Times New Roman" w:hAnsi="Times New Roman" w:cs="Times New Roman"/>
                <w:lang w:bidi="ar-SA"/>
              </w:rPr>
            </w:pPr>
            <w:r w:rsidRPr="00C862C2">
              <w:rPr>
                <w:rFonts w:ascii="Times New Roman" w:hAnsi="Times New Roman" w:cs="Times New Roman"/>
                <w:lang w:bidi="ar-SA"/>
              </w:rPr>
              <w:t>ROA</w:t>
            </w:r>
          </w:p>
        </w:tc>
        <w:tc>
          <w:tcPr>
            <w:tcW w:w="0" w:type="auto"/>
            <w:vAlign w:val="center"/>
          </w:tcPr>
          <w:p w14:paraId="2E65D345"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-0.069190</w:t>
            </w:r>
          </w:p>
        </w:tc>
        <w:tc>
          <w:tcPr>
            <w:tcW w:w="0" w:type="auto"/>
            <w:vAlign w:val="center"/>
          </w:tcPr>
          <w:p w14:paraId="1366B85D"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0.039540</w:t>
            </w:r>
          </w:p>
        </w:tc>
        <w:tc>
          <w:tcPr>
            <w:tcW w:w="0" w:type="auto"/>
            <w:vAlign w:val="center"/>
          </w:tcPr>
          <w:p w14:paraId="66BB8766"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0.019216</w:t>
            </w:r>
          </w:p>
        </w:tc>
        <w:tc>
          <w:tcPr>
            <w:tcW w:w="0" w:type="auto"/>
            <w:vAlign w:val="center"/>
          </w:tcPr>
          <w:p w14:paraId="43463610"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0.298657</w:t>
            </w:r>
          </w:p>
        </w:tc>
        <w:tc>
          <w:tcPr>
            <w:tcW w:w="0" w:type="auto"/>
            <w:vAlign w:val="center"/>
          </w:tcPr>
          <w:p w14:paraId="7794CDC3"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-0.593228</w:t>
            </w:r>
          </w:p>
        </w:tc>
        <w:tc>
          <w:tcPr>
            <w:tcW w:w="0" w:type="auto"/>
            <w:vAlign w:val="center"/>
          </w:tcPr>
          <w:p w14:paraId="22A6BCC2"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1.000000</w:t>
            </w:r>
          </w:p>
        </w:tc>
        <w:tc>
          <w:tcPr>
            <w:tcW w:w="0" w:type="auto"/>
            <w:vAlign w:val="center"/>
          </w:tcPr>
          <w:p w14:paraId="71A42F52"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42B85C9E"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35C5EEBE"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032D3389" w14:textId="77777777" w:rsidTr="00C862C2">
        <w:trPr>
          <w:trHeight w:val="138"/>
          <w:jc w:val="center"/>
        </w:trPr>
        <w:tc>
          <w:tcPr>
            <w:tcW w:w="0" w:type="auto"/>
            <w:vAlign w:val="center"/>
          </w:tcPr>
          <w:p w14:paraId="05D6BF55" w14:textId="77777777" w:rsidR="00146D68" w:rsidRPr="00C862C2" w:rsidRDefault="00146D68" w:rsidP="00C862C2">
            <w:pPr>
              <w:autoSpaceDE w:val="0"/>
              <w:autoSpaceDN w:val="0"/>
              <w:adjustRightInd w:val="0"/>
              <w:rPr>
                <w:rFonts w:ascii="Times New Roman" w:hAnsi="Times New Roman" w:cs="Times New Roman"/>
                <w:lang w:bidi="ar-SA"/>
              </w:rPr>
            </w:pPr>
          </w:p>
        </w:tc>
        <w:tc>
          <w:tcPr>
            <w:tcW w:w="0" w:type="auto"/>
            <w:vAlign w:val="center"/>
          </w:tcPr>
          <w:p w14:paraId="1A76D7A1"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0.0435</w:t>
            </w:r>
          </w:p>
        </w:tc>
        <w:tc>
          <w:tcPr>
            <w:tcW w:w="0" w:type="auto"/>
            <w:vAlign w:val="center"/>
          </w:tcPr>
          <w:p w14:paraId="5C3AF45C"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0.1861</w:t>
            </w:r>
          </w:p>
        </w:tc>
        <w:tc>
          <w:tcPr>
            <w:tcW w:w="0" w:type="auto"/>
            <w:vAlign w:val="center"/>
          </w:tcPr>
          <w:p w14:paraId="5CBD4217"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0.5206</w:t>
            </w:r>
          </w:p>
        </w:tc>
        <w:tc>
          <w:tcPr>
            <w:tcW w:w="0" w:type="auto"/>
            <w:vAlign w:val="center"/>
          </w:tcPr>
          <w:p w14:paraId="639D4FEF"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0.0000</w:t>
            </w:r>
          </w:p>
        </w:tc>
        <w:tc>
          <w:tcPr>
            <w:tcW w:w="0" w:type="auto"/>
            <w:vAlign w:val="center"/>
          </w:tcPr>
          <w:p w14:paraId="25106D07"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0.0000</w:t>
            </w:r>
          </w:p>
        </w:tc>
        <w:tc>
          <w:tcPr>
            <w:tcW w:w="0" w:type="auto"/>
            <w:vAlign w:val="center"/>
          </w:tcPr>
          <w:p w14:paraId="023359EC"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w:t>
            </w:r>
          </w:p>
        </w:tc>
        <w:tc>
          <w:tcPr>
            <w:tcW w:w="0" w:type="auto"/>
            <w:vAlign w:val="center"/>
          </w:tcPr>
          <w:p w14:paraId="070D64F1"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27E6197E"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416CBA20"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76FC0FB3" w14:textId="77777777" w:rsidTr="00C862C2">
        <w:trPr>
          <w:trHeight w:val="73"/>
          <w:jc w:val="center"/>
        </w:trPr>
        <w:tc>
          <w:tcPr>
            <w:tcW w:w="0" w:type="auto"/>
            <w:vAlign w:val="center"/>
          </w:tcPr>
          <w:p w14:paraId="781EB8BA" w14:textId="77777777" w:rsidR="00146D68" w:rsidRPr="00C862C2" w:rsidRDefault="00146D68" w:rsidP="00C862C2">
            <w:pPr>
              <w:autoSpaceDE w:val="0"/>
              <w:autoSpaceDN w:val="0"/>
              <w:adjustRightInd w:val="0"/>
              <w:rPr>
                <w:rFonts w:ascii="Times New Roman" w:hAnsi="Times New Roman" w:cs="Times New Roman"/>
                <w:lang w:bidi="ar-SA"/>
              </w:rPr>
            </w:pPr>
            <w:r w:rsidRPr="00C862C2">
              <w:rPr>
                <w:rFonts w:ascii="Times New Roman" w:hAnsi="Times New Roman" w:cs="Times New Roman"/>
                <w:lang w:bidi="ar-SA"/>
              </w:rPr>
              <w:t>OCF</w:t>
            </w:r>
          </w:p>
        </w:tc>
        <w:tc>
          <w:tcPr>
            <w:tcW w:w="0" w:type="auto"/>
            <w:vAlign w:val="center"/>
          </w:tcPr>
          <w:p w14:paraId="4DA1ACFC"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-0.107890</w:t>
            </w:r>
          </w:p>
        </w:tc>
        <w:tc>
          <w:tcPr>
            <w:tcW w:w="0" w:type="auto"/>
            <w:vAlign w:val="center"/>
          </w:tcPr>
          <w:p w14:paraId="4E76223A"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-0.097448</w:t>
            </w:r>
          </w:p>
        </w:tc>
        <w:tc>
          <w:tcPr>
            <w:tcW w:w="0" w:type="auto"/>
            <w:vAlign w:val="center"/>
          </w:tcPr>
          <w:p w14:paraId="250BED61"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-0.046539</w:t>
            </w:r>
          </w:p>
        </w:tc>
        <w:tc>
          <w:tcPr>
            <w:tcW w:w="0" w:type="auto"/>
            <w:vAlign w:val="center"/>
          </w:tcPr>
          <w:p w14:paraId="559E61B4"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0.131841</w:t>
            </w:r>
          </w:p>
        </w:tc>
        <w:tc>
          <w:tcPr>
            <w:tcW w:w="0" w:type="auto"/>
            <w:vAlign w:val="center"/>
          </w:tcPr>
          <w:p w14:paraId="38170A76"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-0.211200</w:t>
            </w:r>
          </w:p>
        </w:tc>
        <w:tc>
          <w:tcPr>
            <w:tcW w:w="0" w:type="auto"/>
            <w:vAlign w:val="center"/>
          </w:tcPr>
          <w:p w14:paraId="66F92310"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0.437762</w:t>
            </w:r>
          </w:p>
        </w:tc>
        <w:tc>
          <w:tcPr>
            <w:tcW w:w="0" w:type="auto"/>
            <w:vAlign w:val="center"/>
          </w:tcPr>
          <w:p w14:paraId="7EC3009D"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1.000000</w:t>
            </w:r>
          </w:p>
        </w:tc>
        <w:tc>
          <w:tcPr>
            <w:tcW w:w="0" w:type="auto"/>
            <w:vAlign w:val="center"/>
          </w:tcPr>
          <w:p w14:paraId="19FB8524"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612F8487"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740BB741" w14:textId="77777777" w:rsidTr="00C862C2">
        <w:trPr>
          <w:trHeight w:val="73"/>
          <w:jc w:val="center"/>
        </w:trPr>
        <w:tc>
          <w:tcPr>
            <w:tcW w:w="0" w:type="auto"/>
            <w:vAlign w:val="center"/>
          </w:tcPr>
          <w:p w14:paraId="3EF32C01" w14:textId="77777777" w:rsidR="00146D68" w:rsidRPr="00C862C2" w:rsidRDefault="00146D68" w:rsidP="00C862C2">
            <w:pPr>
              <w:autoSpaceDE w:val="0"/>
              <w:autoSpaceDN w:val="0"/>
              <w:adjustRightInd w:val="0"/>
              <w:rPr>
                <w:rFonts w:ascii="Times New Roman" w:hAnsi="Times New Roman" w:cs="Times New Roman"/>
                <w:lang w:bidi="ar-SA"/>
              </w:rPr>
            </w:pPr>
          </w:p>
        </w:tc>
        <w:tc>
          <w:tcPr>
            <w:tcW w:w="0" w:type="auto"/>
            <w:vAlign w:val="center"/>
          </w:tcPr>
          <w:p w14:paraId="11EC0473"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0.0003</w:t>
            </w:r>
          </w:p>
        </w:tc>
        <w:tc>
          <w:tcPr>
            <w:tcW w:w="0" w:type="auto"/>
            <w:vAlign w:val="center"/>
          </w:tcPr>
          <w:p w14:paraId="26735A57"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0.0011</w:t>
            </w:r>
          </w:p>
        </w:tc>
        <w:tc>
          <w:tcPr>
            <w:tcW w:w="0" w:type="auto"/>
            <w:vAlign w:val="center"/>
          </w:tcPr>
          <w:p w14:paraId="325D75AD"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0.1196</w:t>
            </w:r>
          </w:p>
        </w:tc>
        <w:tc>
          <w:tcPr>
            <w:tcW w:w="0" w:type="auto"/>
            <w:vAlign w:val="center"/>
          </w:tcPr>
          <w:p w14:paraId="46783EEC"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0.0000</w:t>
            </w:r>
          </w:p>
        </w:tc>
        <w:tc>
          <w:tcPr>
            <w:tcW w:w="0" w:type="auto"/>
            <w:vAlign w:val="center"/>
          </w:tcPr>
          <w:p w14:paraId="0E12ABBE"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0.0000</w:t>
            </w:r>
          </w:p>
        </w:tc>
        <w:tc>
          <w:tcPr>
            <w:tcW w:w="0" w:type="auto"/>
            <w:vAlign w:val="center"/>
          </w:tcPr>
          <w:p w14:paraId="7D5360DA"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0.0000</w:t>
            </w:r>
          </w:p>
        </w:tc>
        <w:tc>
          <w:tcPr>
            <w:tcW w:w="0" w:type="auto"/>
            <w:vAlign w:val="center"/>
          </w:tcPr>
          <w:p w14:paraId="02B77A51"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w:t>
            </w:r>
          </w:p>
        </w:tc>
        <w:tc>
          <w:tcPr>
            <w:tcW w:w="0" w:type="auto"/>
            <w:vAlign w:val="center"/>
          </w:tcPr>
          <w:p w14:paraId="53DC3749" w14:textId="77777777" w:rsidR="00146D68" w:rsidRPr="00C862C2" w:rsidRDefault="00146D68" w:rsidP="00C862C2">
            <w:pPr>
              <w:autoSpaceDE w:val="0"/>
              <w:autoSpaceDN w:val="0"/>
              <w:adjustRightInd w:val="0"/>
              <w:ind w:right="10"/>
              <w:rPr>
                <w:rFonts w:ascii="Times New Roman" w:hAnsi="Times New Roman" w:cs="Times New Roman"/>
                <w:lang w:bidi="ar-SA"/>
              </w:rPr>
            </w:pPr>
          </w:p>
        </w:tc>
        <w:tc>
          <w:tcPr>
            <w:tcW w:w="0" w:type="auto"/>
            <w:vAlign w:val="center"/>
          </w:tcPr>
          <w:p w14:paraId="4241DEC3"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642D21B8" w14:textId="77777777" w:rsidTr="00C862C2">
        <w:trPr>
          <w:trHeight w:val="73"/>
          <w:jc w:val="center"/>
        </w:trPr>
        <w:tc>
          <w:tcPr>
            <w:tcW w:w="0" w:type="auto"/>
            <w:vAlign w:val="center"/>
          </w:tcPr>
          <w:p w14:paraId="00821F58" w14:textId="77777777" w:rsidR="00146D68" w:rsidRPr="00C862C2" w:rsidRDefault="00146D68" w:rsidP="00C862C2">
            <w:pPr>
              <w:autoSpaceDE w:val="0"/>
              <w:autoSpaceDN w:val="0"/>
              <w:adjustRightInd w:val="0"/>
              <w:rPr>
                <w:rFonts w:ascii="Times New Roman" w:hAnsi="Times New Roman" w:cs="Times New Roman"/>
                <w:lang w:bidi="ar-SA"/>
              </w:rPr>
            </w:pPr>
            <w:r w:rsidRPr="00C862C2">
              <w:rPr>
                <w:rFonts w:ascii="Times New Roman" w:hAnsi="Times New Roman" w:cs="Times New Roman"/>
                <w:lang w:bidi="ar-SA"/>
              </w:rPr>
              <w:t>SG</w:t>
            </w:r>
          </w:p>
        </w:tc>
        <w:tc>
          <w:tcPr>
            <w:tcW w:w="0" w:type="auto"/>
            <w:vAlign w:val="center"/>
          </w:tcPr>
          <w:p w14:paraId="1AF927A5"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-0.014722</w:t>
            </w:r>
          </w:p>
        </w:tc>
        <w:tc>
          <w:tcPr>
            <w:tcW w:w="0" w:type="auto"/>
            <w:vAlign w:val="center"/>
          </w:tcPr>
          <w:p w14:paraId="6372B304"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0.186646</w:t>
            </w:r>
          </w:p>
        </w:tc>
        <w:tc>
          <w:tcPr>
            <w:tcW w:w="0" w:type="auto"/>
            <w:vAlign w:val="center"/>
          </w:tcPr>
          <w:p w14:paraId="424A9022"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0.057337</w:t>
            </w:r>
          </w:p>
        </w:tc>
        <w:tc>
          <w:tcPr>
            <w:tcW w:w="0" w:type="auto"/>
            <w:vAlign w:val="center"/>
          </w:tcPr>
          <w:p w14:paraId="41884B42"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0.096535</w:t>
            </w:r>
          </w:p>
        </w:tc>
        <w:tc>
          <w:tcPr>
            <w:tcW w:w="0" w:type="auto"/>
            <w:vAlign w:val="center"/>
          </w:tcPr>
          <w:p w14:paraId="24BBF3D4"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-0.166567</w:t>
            </w:r>
          </w:p>
        </w:tc>
        <w:tc>
          <w:tcPr>
            <w:tcW w:w="0" w:type="auto"/>
            <w:vAlign w:val="center"/>
          </w:tcPr>
          <w:p w14:paraId="5985BF1E"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0.295046</w:t>
            </w:r>
          </w:p>
        </w:tc>
        <w:tc>
          <w:tcPr>
            <w:tcW w:w="0" w:type="auto"/>
            <w:vAlign w:val="center"/>
          </w:tcPr>
          <w:p w14:paraId="7B01B717"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0.005932</w:t>
            </w:r>
          </w:p>
        </w:tc>
        <w:tc>
          <w:tcPr>
            <w:tcW w:w="0" w:type="auto"/>
            <w:vAlign w:val="center"/>
          </w:tcPr>
          <w:p w14:paraId="0BD9DB5B"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1.000000</w:t>
            </w:r>
          </w:p>
        </w:tc>
        <w:tc>
          <w:tcPr>
            <w:tcW w:w="0" w:type="auto"/>
            <w:vAlign w:val="center"/>
          </w:tcPr>
          <w:p w14:paraId="3FC0D80C"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18CE775E" w14:textId="77777777" w:rsidTr="00C862C2">
        <w:trPr>
          <w:trHeight w:val="89"/>
          <w:jc w:val="center"/>
        </w:trPr>
        <w:tc>
          <w:tcPr>
            <w:tcW w:w="0" w:type="auto"/>
            <w:vAlign w:val="center"/>
          </w:tcPr>
          <w:p w14:paraId="3273761F" w14:textId="77777777" w:rsidR="00146D68" w:rsidRPr="00C862C2" w:rsidRDefault="00146D68" w:rsidP="00C862C2">
            <w:pPr>
              <w:autoSpaceDE w:val="0"/>
              <w:autoSpaceDN w:val="0"/>
              <w:adjustRightInd w:val="0"/>
              <w:rPr>
                <w:rFonts w:ascii="Times New Roman" w:hAnsi="Times New Roman" w:cs="Times New Roman"/>
                <w:lang w:bidi="ar-SA"/>
              </w:rPr>
            </w:pPr>
          </w:p>
        </w:tc>
        <w:tc>
          <w:tcPr>
            <w:tcW w:w="0" w:type="auto"/>
            <w:vAlign w:val="center"/>
          </w:tcPr>
          <w:p w14:paraId="12875AC8"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0.6226</w:t>
            </w:r>
          </w:p>
        </w:tc>
        <w:tc>
          <w:tcPr>
            <w:tcW w:w="0" w:type="auto"/>
            <w:vAlign w:val="center"/>
          </w:tcPr>
          <w:p w14:paraId="6DB26420"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0.0000</w:t>
            </w:r>
          </w:p>
        </w:tc>
        <w:tc>
          <w:tcPr>
            <w:tcW w:w="0" w:type="auto"/>
            <w:vAlign w:val="center"/>
          </w:tcPr>
          <w:p w14:paraId="6FB805AD"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0.0551</w:t>
            </w:r>
          </w:p>
        </w:tc>
        <w:tc>
          <w:tcPr>
            <w:tcW w:w="0" w:type="auto"/>
            <w:vAlign w:val="center"/>
          </w:tcPr>
          <w:p w14:paraId="01BEA6FA"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0.0012</w:t>
            </w:r>
          </w:p>
        </w:tc>
        <w:tc>
          <w:tcPr>
            <w:tcW w:w="0" w:type="auto"/>
            <w:vAlign w:val="center"/>
          </w:tcPr>
          <w:p w14:paraId="0A18724E"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0.0000</w:t>
            </w:r>
          </w:p>
        </w:tc>
        <w:tc>
          <w:tcPr>
            <w:tcW w:w="0" w:type="auto"/>
            <w:vAlign w:val="center"/>
          </w:tcPr>
          <w:p w14:paraId="66E5D7A1"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0.0000</w:t>
            </w:r>
          </w:p>
        </w:tc>
        <w:tc>
          <w:tcPr>
            <w:tcW w:w="0" w:type="auto"/>
            <w:vAlign w:val="center"/>
          </w:tcPr>
          <w:p w14:paraId="1A8E1C4A"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0.8428</w:t>
            </w:r>
          </w:p>
        </w:tc>
        <w:tc>
          <w:tcPr>
            <w:tcW w:w="0" w:type="auto"/>
            <w:vAlign w:val="center"/>
          </w:tcPr>
          <w:p w14:paraId="58E00126"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w:t>
            </w:r>
          </w:p>
        </w:tc>
        <w:tc>
          <w:tcPr>
            <w:tcW w:w="0" w:type="auto"/>
            <w:vAlign w:val="center"/>
          </w:tcPr>
          <w:p w14:paraId="2498E679" w14:textId="77777777" w:rsidR="00146D68" w:rsidRPr="00C862C2" w:rsidRDefault="00146D68" w:rsidP="00C862C2">
            <w:pPr>
              <w:autoSpaceDE w:val="0"/>
              <w:autoSpaceDN w:val="0"/>
              <w:adjustRightInd w:val="0"/>
              <w:ind w:right="10"/>
              <w:rPr>
                <w:rFonts w:ascii="Times New Roman" w:hAnsi="Times New Roman" w:cs="Times New Roman"/>
                <w:lang w:bidi="ar-SA"/>
              </w:rPr>
            </w:pPr>
          </w:p>
        </w:tc>
      </w:tr>
      <w:tr w:rsidR="00146D68" w:rsidRPr="00C862C2" w14:paraId="5BE07DC9" w14:textId="77777777" w:rsidTr="00C862C2">
        <w:trPr>
          <w:trHeight w:val="73"/>
          <w:jc w:val="center"/>
        </w:trPr>
        <w:tc>
          <w:tcPr>
            <w:tcW w:w="0" w:type="auto"/>
            <w:vAlign w:val="center"/>
          </w:tcPr>
          <w:p w14:paraId="43C60898" w14:textId="77777777" w:rsidR="00146D68" w:rsidRPr="00C862C2" w:rsidRDefault="00146D68" w:rsidP="00C862C2">
            <w:pPr>
              <w:autoSpaceDE w:val="0"/>
              <w:autoSpaceDN w:val="0"/>
              <w:adjustRightInd w:val="0"/>
              <w:rPr>
                <w:rFonts w:ascii="Times New Roman" w:hAnsi="Times New Roman" w:cs="Times New Roman"/>
                <w:lang w:bidi="ar-SA"/>
              </w:rPr>
            </w:pPr>
            <w:r w:rsidRPr="00C862C2">
              <w:rPr>
                <w:rFonts w:ascii="Times New Roman" w:hAnsi="Times New Roman" w:cs="Times New Roman"/>
                <w:lang w:bidi="ar-SA"/>
              </w:rPr>
              <w:t>BIG</w:t>
            </w:r>
          </w:p>
        </w:tc>
        <w:tc>
          <w:tcPr>
            <w:tcW w:w="0" w:type="auto"/>
            <w:vAlign w:val="center"/>
          </w:tcPr>
          <w:p w14:paraId="1F4498F2"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-0.080600</w:t>
            </w:r>
          </w:p>
        </w:tc>
        <w:tc>
          <w:tcPr>
            <w:tcW w:w="0" w:type="auto"/>
            <w:vAlign w:val="center"/>
          </w:tcPr>
          <w:p w14:paraId="25AC3AB5"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0.000516</w:t>
            </w:r>
          </w:p>
        </w:tc>
        <w:tc>
          <w:tcPr>
            <w:tcW w:w="0" w:type="auto"/>
            <w:vAlign w:val="center"/>
          </w:tcPr>
          <w:p w14:paraId="5B54ED78"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0.110075</w:t>
            </w:r>
          </w:p>
        </w:tc>
        <w:tc>
          <w:tcPr>
            <w:tcW w:w="0" w:type="auto"/>
            <w:vAlign w:val="center"/>
          </w:tcPr>
          <w:p w14:paraId="64270BE1"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0.198898</w:t>
            </w:r>
          </w:p>
        </w:tc>
        <w:tc>
          <w:tcPr>
            <w:tcW w:w="0" w:type="auto"/>
            <w:vAlign w:val="center"/>
          </w:tcPr>
          <w:p w14:paraId="48FF972C"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0.116071</w:t>
            </w:r>
          </w:p>
        </w:tc>
        <w:tc>
          <w:tcPr>
            <w:tcW w:w="0" w:type="auto"/>
            <w:vAlign w:val="center"/>
          </w:tcPr>
          <w:p w14:paraId="1057440F"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0.018542</w:t>
            </w:r>
          </w:p>
        </w:tc>
        <w:tc>
          <w:tcPr>
            <w:tcW w:w="0" w:type="auto"/>
            <w:vAlign w:val="center"/>
          </w:tcPr>
          <w:p w14:paraId="7EDABB74"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0.020219</w:t>
            </w:r>
          </w:p>
        </w:tc>
        <w:tc>
          <w:tcPr>
            <w:tcW w:w="0" w:type="auto"/>
            <w:vAlign w:val="center"/>
          </w:tcPr>
          <w:p w14:paraId="28564056"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-0.041901</w:t>
            </w:r>
          </w:p>
        </w:tc>
        <w:tc>
          <w:tcPr>
            <w:tcW w:w="0" w:type="auto"/>
            <w:vAlign w:val="center"/>
          </w:tcPr>
          <w:p w14:paraId="0FEEEC00" w14:textId="77777777" w:rsidR="00146D68" w:rsidRPr="00C862C2" w:rsidRDefault="00146D68" w:rsidP="00C862C2">
            <w:pPr>
              <w:autoSpaceDE w:val="0"/>
              <w:autoSpaceDN w:val="0"/>
              <w:adjustRightInd w:val="0"/>
              <w:ind w:right="10"/>
              <w:rPr>
                <w:rFonts w:ascii="Times New Roman" w:hAnsi="Times New Roman" w:cs="Times New Roman"/>
                <w:lang w:bidi="ar-SA"/>
              </w:rPr>
            </w:pPr>
            <w:r w:rsidRPr="00C862C2">
              <w:rPr>
                <w:rFonts w:ascii="Times New Roman" w:hAnsi="Times New Roman" w:cs="Times New Roman"/>
                <w:lang w:bidi="ar-SA"/>
              </w:rPr>
              <w:t>1.000000</w:t>
            </w:r>
          </w:p>
        </w:tc>
      </w:tr>
      <w:tr w:rsidR="00146D68" w:rsidRPr="00C862C2" w14:paraId="0161BF47" w14:textId="77777777" w:rsidTr="00C862C2">
        <w:trPr>
          <w:trHeight w:val="73"/>
          <w:jc w:val="center"/>
        </w:trPr>
        <w:tc>
          <w:tcPr>
            <w:tcW w:w="0" w:type="auto"/>
            <w:vAlign w:val="center"/>
          </w:tcPr>
          <w:p w14:paraId="4E46744A" w14:textId="77777777" w:rsidR="00146D68" w:rsidRPr="00C862C2" w:rsidRDefault="00146D68" w:rsidP="00C862C2">
            <w:pPr>
              <w:autoSpaceDE w:val="0"/>
              <w:autoSpaceDN w:val="0"/>
              <w:adjustRightInd w:val="0"/>
              <w:jc w:val="both"/>
              <w:rPr>
                <w:rFonts w:ascii="Times New Roman" w:hAnsi="Times New Roman" w:cs="Times New Roman"/>
                <w:lang w:bidi="ar-SA"/>
              </w:rPr>
            </w:pPr>
          </w:p>
        </w:tc>
        <w:tc>
          <w:tcPr>
            <w:tcW w:w="0" w:type="auto"/>
            <w:vAlign w:val="center"/>
          </w:tcPr>
          <w:p w14:paraId="7FE826C7" w14:textId="77777777" w:rsidR="00146D68" w:rsidRPr="00C862C2" w:rsidRDefault="00146D68" w:rsidP="00C862C2">
            <w:pPr>
              <w:autoSpaceDE w:val="0"/>
              <w:autoSpaceDN w:val="0"/>
              <w:adjustRightInd w:val="0"/>
              <w:ind w:right="10"/>
              <w:jc w:val="both"/>
              <w:rPr>
                <w:rFonts w:ascii="Times New Roman" w:hAnsi="Times New Roman" w:cs="Times New Roman"/>
                <w:lang w:bidi="ar-SA"/>
              </w:rPr>
            </w:pPr>
            <w:r w:rsidRPr="00C862C2">
              <w:rPr>
                <w:rFonts w:ascii="Times New Roman" w:hAnsi="Times New Roman" w:cs="Times New Roman"/>
                <w:lang w:bidi="ar-SA"/>
              </w:rPr>
              <w:t>0.0070</w:t>
            </w:r>
          </w:p>
        </w:tc>
        <w:tc>
          <w:tcPr>
            <w:tcW w:w="0" w:type="auto"/>
            <w:vAlign w:val="center"/>
          </w:tcPr>
          <w:p w14:paraId="08248FB7" w14:textId="77777777" w:rsidR="00146D68" w:rsidRPr="00C862C2" w:rsidRDefault="00146D68" w:rsidP="00C862C2">
            <w:pPr>
              <w:autoSpaceDE w:val="0"/>
              <w:autoSpaceDN w:val="0"/>
              <w:adjustRightInd w:val="0"/>
              <w:ind w:right="10"/>
              <w:jc w:val="both"/>
              <w:rPr>
                <w:rFonts w:ascii="Times New Roman" w:hAnsi="Times New Roman" w:cs="Times New Roman"/>
                <w:lang w:bidi="ar-SA"/>
              </w:rPr>
            </w:pPr>
            <w:r w:rsidRPr="00C862C2">
              <w:rPr>
                <w:rFonts w:ascii="Times New Roman" w:hAnsi="Times New Roman" w:cs="Times New Roman"/>
                <w:lang w:bidi="ar-SA"/>
              </w:rPr>
              <w:t>0.9862</w:t>
            </w:r>
          </w:p>
        </w:tc>
        <w:tc>
          <w:tcPr>
            <w:tcW w:w="0" w:type="auto"/>
            <w:vAlign w:val="center"/>
          </w:tcPr>
          <w:p w14:paraId="7DAA16D9" w14:textId="77777777" w:rsidR="00146D68" w:rsidRPr="00C862C2" w:rsidRDefault="00146D68" w:rsidP="00C862C2">
            <w:pPr>
              <w:autoSpaceDE w:val="0"/>
              <w:autoSpaceDN w:val="0"/>
              <w:adjustRightInd w:val="0"/>
              <w:ind w:right="10"/>
              <w:jc w:val="both"/>
              <w:rPr>
                <w:rFonts w:ascii="Times New Roman" w:hAnsi="Times New Roman" w:cs="Times New Roman"/>
                <w:lang w:bidi="ar-SA"/>
              </w:rPr>
            </w:pPr>
            <w:r w:rsidRPr="00C862C2">
              <w:rPr>
                <w:rFonts w:ascii="Times New Roman" w:hAnsi="Times New Roman" w:cs="Times New Roman"/>
                <w:lang w:bidi="ar-SA"/>
              </w:rPr>
              <w:t>0.0002</w:t>
            </w:r>
          </w:p>
        </w:tc>
        <w:tc>
          <w:tcPr>
            <w:tcW w:w="0" w:type="auto"/>
            <w:vAlign w:val="center"/>
          </w:tcPr>
          <w:p w14:paraId="013B8BF4" w14:textId="77777777" w:rsidR="00146D68" w:rsidRPr="00C862C2" w:rsidRDefault="00146D68" w:rsidP="00C862C2">
            <w:pPr>
              <w:autoSpaceDE w:val="0"/>
              <w:autoSpaceDN w:val="0"/>
              <w:adjustRightInd w:val="0"/>
              <w:ind w:right="10"/>
              <w:jc w:val="both"/>
              <w:rPr>
                <w:rFonts w:ascii="Times New Roman" w:hAnsi="Times New Roman" w:cs="Times New Roman"/>
                <w:lang w:bidi="ar-SA"/>
              </w:rPr>
            </w:pPr>
            <w:r w:rsidRPr="00C862C2">
              <w:rPr>
                <w:rFonts w:ascii="Times New Roman" w:hAnsi="Times New Roman" w:cs="Times New Roman"/>
                <w:lang w:bidi="ar-SA"/>
              </w:rPr>
              <w:t>0.0000</w:t>
            </w:r>
          </w:p>
        </w:tc>
        <w:tc>
          <w:tcPr>
            <w:tcW w:w="0" w:type="auto"/>
            <w:vAlign w:val="center"/>
          </w:tcPr>
          <w:p w14:paraId="6474D2B3" w14:textId="77777777" w:rsidR="00146D68" w:rsidRPr="00C862C2" w:rsidRDefault="00146D68" w:rsidP="00C862C2">
            <w:pPr>
              <w:autoSpaceDE w:val="0"/>
              <w:autoSpaceDN w:val="0"/>
              <w:adjustRightInd w:val="0"/>
              <w:ind w:right="10"/>
              <w:jc w:val="both"/>
              <w:rPr>
                <w:rFonts w:ascii="Times New Roman" w:hAnsi="Times New Roman" w:cs="Times New Roman"/>
                <w:lang w:bidi="ar-SA"/>
              </w:rPr>
            </w:pPr>
            <w:r w:rsidRPr="00C862C2">
              <w:rPr>
                <w:rFonts w:ascii="Times New Roman" w:hAnsi="Times New Roman" w:cs="Times New Roman"/>
                <w:lang w:bidi="ar-SA"/>
              </w:rPr>
              <w:t>0.0001</w:t>
            </w:r>
          </w:p>
        </w:tc>
        <w:tc>
          <w:tcPr>
            <w:tcW w:w="0" w:type="auto"/>
            <w:vAlign w:val="center"/>
          </w:tcPr>
          <w:p w14:paraId="70C40CAB" w14:textId="77777777" w:rsidR="00146D68" w:rsidRPr="00C862C2" w:rsidRDefault="00146D68" w:rsidP="00C862C2">
            <w:pPr>
              <w:autoSpaceDE w:val="0"/>
              <w:autoSpaceDN w:val="0"/>
              <w:adjustRightInd w:val="0"/>
              <w:ind w:right="10"/>
              <w:jc w:val="both"/>
              <w:rPr>
                <w:rFonts w:ascii="Times New Roman" w:hAnsi="Times New Roman" w:cs="Times New Roman"/>
                <w:lang w:bidi="ar-SA"/>
              </w:rPr>
            </w:pPr>
            <w:r w:rsidRPr="00C862C2">
              <w:rPr>
                <w:rFonts w:ascii="Times New Roman" w:hAnsi="Times New Roman" w:cs="Times New Roman"/>
                <w:lang w:bidi="ar-SA"/>
              </w:rPr>
              <w:t>0.5353</w:t>
            </w:r>
          </w:p>
        </w:tc>
        <w:tc>
          <w:tcPr>
            <w:tcW w:w="0" w:type="auto"/>
            <w:vAlign w:val="center"/>
          </w:tcPr>
          <w:p w14:paraId="2C26FA27" w14:textId="77777777" w:rsidR="00146D68" w:rsidRPr="00C862C2" w:rsidRDefault="00146D68" w:rsidP="00C862C2">
            <w:pPr>
              <w:autoSpaceDE w:val="0"/>
              <w:autoSpaceDN w:val="0"/>
              <w:adjustRightInd w:val="0"/>
              <w:ind w:right="10"/>
              <w:jc w:val="both"/>
              <w:rPr>
                <w:rFonts w:ascii="Times New Roman" w:hAnsi="Times New Roman" w:cs="Times New Roman"/>
                <w:lang w:bidi="ar-SA"/>
              </w:rPr>
            </w:pPr>
            <w:r w:rsidRPr="00C862C2">
              <w:rPr>
                <w:rFonts w:ascii="Times New Roman" w:hAnsi="Times New Roman" w:cs="Times New Roman"/>
                <w:lang w:bidi="ar-SA"/>
              </w:rPr>
              <w:t>0.4991</w:t>
            </w:r>
          </w:p>
        </w:tc>
        <w:tc>
          <w:tcPr>
            <w:tcW w:w="0" w:type="auto"/>
            <w:vAlign w:val="center"/>
          </w:tcPr>
          <w:p w14:paraId="6E5771B9" w14:textId="77777777" w:rsidR="00146D68" w:rsidRPr="00C862C2" w:rsidRDefault="00146D68" w:rsidP="00C862C2">
            <w:pPr>
              <w:autoSpaceDE w:val="0"/>
              <w:autoSpaceDN w:val="0"/>
              <w:adjustRightInd w:val="0"/>
              <w:ind w:right="10"/>
              <w:jc w:val="both"/>
              <w:rPr>
                <w:rFonts w:ascii="Times New Roman" w:hAnsi="Times New Roman" w:cs="Times New Roman"/>
                <w:lang w:bidi="ar-SA"/>
              </w:rPr>
            </w:pPr>
            <w:r w:rsidRPr="00C862C2">
              <w:rPr>
                <w:rFonts w:ascii="Times New Roman" w:hAnsi="Times New Roman" w:cs="Times New Roman"/>
                <w:lang w:bidi="ar-SA"/>
              </w:rPr>
              <w:t>0.1611</w:t>
            </w:r>
          </w:p>
        </w:tc>
        <w:tc>
          <w:tcPr>
            <w:tcW w:w="0" w:type="auto"/>
            <w:vAlign w:val="center"/>
          </w:tcPr>
          <w:p w14:paraId="2BB2B1F5" w14:textId="77777777" w:rsidR="00146D68" w:rsidRPr="00C862C2" w:rsidRDefault="00146D68" w:rsidP="00C862C2">
            <w:pPr>
              <w:autoSpaceDE w:val="0"/>
              <w:autoSpaceDN w:val="0"/>
              <w:adjustRightInd w:val="0"/>
              <w:ind w:right="10"/>
              <w:jc w:val="both"/>
              <w:rPr>
                <w:rFonts w:ascii="Times New Roman" w:hAnsi="Times New Roman" w:cs="Times New Roman"/>
                <w:lang w:bidi="ar-SA"/>
              </w:rPr>
            </w:pPr>
            <w:r w:rsidRPr="00C862C2">
              <w:rPr>
                <w:rFonts w:ascii="Times New Roman" w:hAnsi="Times New Roman" w:cs="Times New Roman"/>
                <w:lang w:bidi="ar-SA"/>
              </w:rPr>
              <w:t>-----</w:t>
            </w:r>
          </w:p>
        </w:tc>
      </w:tr>
    </w:tbl>
    <w:p w14:paraId="593181AE" w14:textId="77777777" w:rsidR="00C862C2" w:rsidRPr="00C862C2" w:rsidRDefault="00C862C2" w:rsidP="00C862C2">
      <w:pPr>
        <w:spacing w:after="0" w:line="240" w:lineRule="auto"/>
        <w:jc w:val="both"/>
        <w:rPr>
          <w:rFonts w:ascii="Times New Roman" w:hAnsi="Times New Roman" w:cs="Times New Roman"/>
        </w:rPr>
      </w:pPr>
    </w:p>
    <w:p w14:paraId="7A4E261D" w14:textId="1CDA9667" w:rsidR="00475B92" w:rsidRDefault="00214CA4" w:rsidP="00C862C2">
      <w:pPr>
        <w:pStyle w:val="Heading3"/>
        <w:spacing w:before="0" w:beforeAutospacing="0" w:after="0" w:afterAutospacing="0"/>
        <w:jc w:val="both"/>
        <w:rPr>
          <w:rStyle w:val="Strong"/>
          <w:b/>
          <w:bCs/>
          <w:sz w:val="22"/>
          <w:szCs w:val="22"/>
        </w:rPr>
      </w:pPr>
      <w:r w:rsidRPr="00C862C2">
        <w:rPr>
          <w:rStyle w:val="Strong"/>
          <w:b/>
          <w:bCs/>
          <w:sz w:val="22"/>
          <w:szCs w:val="22"/>
        </w:rPr>
        <w:t>5.</w:t>
      </w:r>
      <w:r w:rsidR="00146D68" w:rsidRPr="00C862C2">
        <w:rPr>
          <w:rStyle w:val="Strong"/>
          <w:b/>
          <w:bCs/>
          <w:sz w:val="22"/>
          <w:szCs w:val="22"/>
        </w:rPr>
        <w:t xml:space="preserve"> </w:t>
      </w:r>
      <w:r w:rsidR="00D56A97" w:rsidRPr="00C862C2">
        <w:rPr>
          <w:rStyle w:val="Strong"/>
          <w:b/>
          <w:bCs/>
          <w:sz w:val="22"/>
          <w:szCs w:val="22"/>
        </w:rPr>
        <w:t>Hypothesis Testing Results</w:t>
      </w:r>
    </w:p>
    <w:p w14:paraId="166D1901" w14:textId="77777777" w:rsidR="00C862C2" w:rsidRPr="00C862C2" w:rsidRDefault="00C862C2" w:rsidP="00C862C2">
      <w:pPr>
        <w:pStyle w:val="Heading3"/>
        <w:spacing w:before="0" w:beforeAutospacing="0" w:after="0" w:afterAutospacing="0"/>
        <w:jc w:val="both"/>
        <w:rPr>
          <w:rStyle w:val="Strong"/>
          <w:b/>
          <w:bCs/>
          <w:sz w:val="22"/>
          <w:szCs w:val="22"/>
        </w:rPr>
      </w:pPr>
    </w:p>
    <w:p w14:paraId="23191F19" w14:textId="08C8A1F2" w:rsidR="00475B92" w:rsidRDefault="00214CA4" w:rsidP="00C862C2">
      <w:pPr>
        <w:pStyle w:val="Heading3"/>
        <w:spacing w:before="0" w:beforeAutospacing="0" w:after="0" w:afterAutospacing="0"/>
        <w:jc w:val="both"/>
        <w:rPr>
          <w:rStyle w:val="Strong"/>
          <w:b/>
          <w:bCs/>
          <w:sz w:val="22"/>
          <w:szCs w:val="22"/>
        </w:rPr>
      </w:pPr>
      <w:r w:rsidRPr="00C862C2">
        <w:rPr>
          <w:rStyle w:val="Strong"/>
          <w:b/>
          <w:bCs/>
          <w:sz w:val="22"/>
          <w:szCs w:val="22"/>
        </w:rPr>
        <w:t>5.1.</w:t>
      </w:r>
      <w:r w:rsidR="00146D68" w:rsidRPr="00C862C2">
        <w:rPr>
          <w:rStyle w:val="Strong"/>
          <w:b/>
          <w:bCs/>
          <w:sz w:val="22"/>
          <w:szCs w:val="22"/>
        </w:rPr>
        <w:t xml:space="preserve"> </w:t>
      </w:r>
      <w:r w:rsidR="00D56A97" w:rsidRPr="00C862C2">
        <w:rPr>
          <w:rStyle w:val="Strong"/>
          <w:b/>
          <w:bCs/>
          <w:sz w:val="22"/>
          <w:szCs w:val="22"/>
        </w:rPr>
        <w:t xml:space="preserve">Regression </w:t>
      </w:r>
      <w:r w:rsidR="00867E57" w:rsidRPr="00C862C2">
        <w:rPr>
          <w:rStyle w:val="Strong"/>
          <w:b/>
          <w:bCs/>
          <w:sz w:val="22"/>
          <w:szCs w:val="22"/>
        </w:rPr>
        <w:t>m</w:t>
      </w:r>
      <w:r w:rsidR="00D56A97" w:rsidRPr="00C862C2">
        <w:rPr>
          <w:rStyle w:val="Strong"/>
          <w:b/>
          <w:bCs/>
          <w:sz w:val="22"/>
          <w:szCs w:val="22"/>
        </w:rPr>
        <w:t xml:space="preserve">odels for the </w:t>
      </w:r>
      <w:r w:rsidR="00867E57" w:rsidRPr="00C862C2">
        <w:rPr>
          <w:rStyle w:val="Strong"/>
          <w:b/>
          <w:bCs/>
          <w:sz w:val="22"/>
          <w:szCs w:val="22"/>
        </w:rPr>
        <w:t>f</w:t>
      </w:r>
      <w:r w:rsidR="00D56A97" w:rsidRPr="00C862C2">
        <w:rPr>
          <w:rStyle w:val="Strong"/>
          <w:b/>
          <w:bCs/>
          <w:sz w:val="22"/>
          <w:szCs w:val="22"/>
        </w:rPr>
        <w:t xml:space="preserve">irst </w:t>
      </w:r>
      <w:r w:rsidR="00867E57" w:rsidRPr="00C862C2">
        <w:rPr>
          <w:rStyle w:val="Strong"/>
          <w:b/>
          <w:bCs/>
          <w:sz w:val="22"/>
          <w:szCs w:val="22"/>
        </w:rPr>
        <w:t>h</w:t>
      </w:r>
      <w:r w:rsidR="00D56A97" w:rsidRPr="00C862C2">
        <w:rPr>
          <w:rStyle w:val="Strong"/>
          <w:b/>
          <w:bCs/>
          <w:sz w:val="22"/>
          <w:szCs w:val="22"/>
        </w:rPr>
        <w:t>ypothesis</w:t>
      </w:r>
    </w:p>
    <w:p w14:paraId="49C81D3C" w14:textId="77777777" w:rsidR="00C862C2" w:rsidRPr="00C862C2" w:rsidRDefault="00C862C2" w:rsidP="00C862C2">
      <w:pPr>
        <w:pStyle w:val="Heading3"/>
        <w:spacing w:before="0" w:beforeAutospacing="0" w:after="0" w:afterAutospacing="0"/>
        <w:jc w:val="both"/>
        <w:rPr>
          <w:rStyle w:val="Strong"/>
          <w:b/>
          <w:bCs/>
          <w:sz w:val="22"/>
          <w:szCs w:val="22"/>
        </w:rPr>
      </w:pPr>
    </w:p>
    <w:p w14:paraId="15CABF9A" w14:textId="13F9810E" w:rsidR="00D56A97" w:rsidRPr="00C862C2" w:rsidRDefault="00214CA4" w:rsidP="00C862C2">
      <w:pPr>
        <w:pStyle w:val="Heading3"/>
        <w:spacing w:before="0" w:beforeAutospacing="0" w:after="0" w:afterAutospacing="0"/>
        <w:jc w:val="both"/>
        <w:rPr>
          <w:b w:val="0"/>
          <w:bCs w:val="0"/>
          <w:sz w:val="22"/>
          <w:szCs w:val="22"/>
        </w:rPr>
      </w:pPr>
      <w:r w:rsidRPr="00C862C2">
        <w:rPr>
          <w:rStyle w:val="Strong"/>
          <w:b/>
          <w:bCs/>
          <w:sz w:val="22"/>
          <w:szCs w:val="22"/>
        </w:rPr>
        <w:t>5.1.1.</w:t>
      </w:r>
      <w:r w:rsidR="00146D68" w:rsidRPr="00C862C2">
        <w:rPr>
          <w:rStyle w:val="Strong"/>
          <w:b/>
          <w:bCs/>
          <w:sz w:val="22"/>
          <w:szCs w:val="22"/>
        </w:rPr>
        <w:t xml:space="preserve"> </w:t>
      </w:r>
      <w:r w:rsidR="00D56A97" w:rsidRPr="00C862C2">
        <w:rPr>
          <w:rStyle w:val="Strong"/>
          <w:b/>
          <w:bCs/>
          <w:sz w:val="22"/>
          <w:szCs w:val="22"/>
        </w:rPr>
        <w:t xml:space="preserve">Model </w:t>
      </w:r>
      <w:r w:rsidR="00867E57" w:rsidRPr="00C862C2">
        <w:rPr>
          <w:rStyle w:val="Strong"/>
          <w:b/>
          <w:bCs/>
          <w:sz w:val="22"/>
          <w:szCs w:val="22"/>
        </w:rPr>
        <w:t>d</w:t>
      </w:r>
      <w:r w:rsidR="00D56A97" w:rsidRPr="00C862C2">
        <w:rPr>
          <w:rStyle w:val="Strong"/>
          <w:b/>
          <w:bCs/>
          <w:sz w:val="22"/>
          <w:szCs w:val="22"/>
        </w:rPr>
        <w:t xml:space="preserve">iagnostic </w:t>
      </w:r>
      <w:r w:rsidR="00867E57" w:rsidRPr="00C862C2">
        <w:rPr>
          <w:rStyle w:val="Strong"/>
          <w:b/>
          <w:bCs/>
          <w:sz w:val="22"/>
          <w:szCs w:val="22"/>
        </w:rPr>
        <w:t>t</w:t>
      </w:r>
      <w:r w:rsidR="00D56A97" w:rsidRPr="00C862C2">
        <w:rPr>
          <w:rStyle w:val="Strong"/>
          <w:b/>
          <w:bCs/>
          <w:sz w:val="22"/>
          <w:szCs w:val="22"/>
        </w:rPr>
        <w:t>ests</w:t>
      </w:r>
    </w:p>
    <w:p w14:paraId="1E252F4B" w14:textId="77777777" w:rsidR="00D56A97" w:rsidRPr="00C862C2" w:rsidRDefault="00D56A97" w:rsidP="00C862C2">
      <w:pPr>
        <w:pStyle w:val="NormalWeb"/>
        <w:spacing w:before="0" w:beforeAutospacing="0" w:after="0" w:afterAutospacing="0"/>
        <w:jc w:val="both"/>
        <w:rPr>
          <w:sz w:val="22"/>
          <w:szCs w:val="22"/>
          <w:rtl/>
        </w:rPr>
      </w:pPr>
      <w:r w:rsidRPr="00C862C2">
        <w:rPr>
          <w:sz w:val="22"/>
          <w:szCs w:val="22"/>
        </w:rPr>
        <w:t xml:space="preserve">Prior to estimating the research models, the Chow test (F-Limer) was conducted to determine the appropriate specification between the pooled ordinary least squares (OLS) model and the panel data model with fixed effects. If the p-value of the Chow test is greater than 5%, the pooled OLS method is preferred; otherwise, if the p-value is less than 5%, the panel data approach is considered appropriate. In cases where the panel data model is selected, the Hausman test must then be performed to determine whether fixed or random effects should be employed. A Hausman test p-value greater than 5% indicates that the random effects model is suitable, whereas a p-value below 5% supports the use of the fixed effects </w:t>
      </w:r>
      <w:proofErr w:type="spellStart"/>
      <w:proofErr w:type="gramStart"/>
      <w:r w:rsidRPr="00C862C2">
        <w:rPr>
          <w:sz w:val="22"/>
          <w:szCs w:val="22"/>
        </w:rPr>
        <w:t>model.Based</w:t>
      </w:r>
      <w:proofErr w:type="spellEnd"/>
      <w:proofErr w:type="gramEnd"/>
      <w:r w:rsidRPr="00C862C2">
        <w:rPr>
          <w:sz w:val="22"/>
          <w:szCs w:val="22"/>
        </w:rPr>
        <w:t xml:space="preserve"> on the results of the Chow test, which yielded a significance level below 5%, the panel data method is deemed appropriate. Furthermore, since the Hausman test also produced a p-value less than 5%, the fixed effects model was selected for estimation. The results of both the Chow and Hausman tests are reported in Table (5).</w:t>
      </w:r>
    </w:p>
    <w:p w14:paraId="1077C3C7" w14:textId="77777777" w:rsidR="00146D68" w:rsidRPr="00C862C2" w:rsidRDefault="00146D68" w:rsidP="00C862C2">
      <w:pPr>
        <w:spacing w:after="0" w:line="240" w:lineRule="auto"/>
        <w:jc w:val="both"/>
        <w:rPr>
          <w:rFonts w:ascii="Times New Roman" w:hAnsi="Times New Roman" w:cs="Times New Roman"/>
          <w:b/>
          <w:bCs/>
        </w:rPr>
      </w:pPr>
    </w:p>
    <w:p w14:paraId="4C1F4AAB" w14:textId="4D2E9E32" w:rsidR="00146D68" w:rsidRPr="00C862C2" w:rsidRDefault="00146D68" w:rsidP="00C862C2">
      <w:pPr>
        <w:spacing w:after="0" w:line="240" w:lineRule="auto"/>
        <w:jc w:val="both"/>
        <w:rPr>
          <w:rFonts w:ascii="Times New Roman" w:hAnsi="Times New Roman" w:cs="Times New Roman"/>
        </w:rPr>
      </w:pPr>
      <w:r w:rsidRPr="00C862C2">
        <w:rPr>
          <w:rFonts w:ascii="Times New Roman" w:hAnsi="Times New Roman" w:cs="Times New Roman"/>
          <w:b/>
          <w:bCs/>
        </w:rPr>
        <w:t>Table 5.</w:t>
      </w:r>
      <w:r w:rsidRPr="00C862C2">
        <w:rPr>
          <w:rFonts w:ascii="Times New Roman" w:hAnsi="Times New Roman" w:cs="Times New Roman"/>
        </w:rPr>
        <w:t xml:space="preserve"> Results of Chow and Hausman Tests</w:t>
      </w:r>
    </w:p>
    <w:tbl>
      <w:tblPr>
        <w:tblStyle w:val="TableGrid"/>
        <w:bidiVisual/>
        <w:tblW w:w="9090" w:type="dxa"/>
        <w:tblLook w:val="04A0" w:firstRow="1" w:lastRow="0" w:firstColumn="1" w:lastColumn="0" w:noHBand="0" w:noVBand="1"/>
      </w:tblPr>
      <w:tblGrid>
        <w:gridCol w:w="1514"/>
        <w:gridCol w:w="1514"/>
        <w:gridCol w:w="1516"/>
        <w:gridCol w:w="1408"/>
        <w:gridCol w:w="1622"/>
        <w:gridCol w:w="1516"/>
      </w:tblGrid>
      <w:tr w:rsidR="00146D68" w:rsidRPr="00C862C2" w14:paraId="6B41F70A" w14:textId="77777777" w:rsidTr="00C862C2">
        <w:trPr>
          <w:trHeight w:val="556"/>
        </w:trPr>
        <w:tc>
          <w:tcPr>
            <w:tcW w:w="1514" w:type="dxa"/>
            <w:vAlign w:val="center"/>
          </w:tcPr>
          <w:p w14:paraId="6780658D"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Result</w:t>
            </w:r>
          </w:p>
        </w:tc>
        <w:tc>
          <w:tcPr>
            <w:tcW w:w="1514" w:type="dxa"/>
            <w:vAlign w:val="center"/>
          </w:tcPr>
          <w:p w14:paraId="43C4AD7C"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Significance Level</w:t>
            </w:r>
          </w:p>
        </w:tc>
        <w:tc>
          <w:tcPr>
            <w:tcW w:w="1516" w:type="dxa"/>
            <w:vAlign w:val="center"/>
          </w:tcPr>
          <w:p w14:paraId="6B405106"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Degrees of Freedom</w:t>
            </w:r>
          </w:p>
        </w:tc>
        <w:tc>
          <w:tcPr>
            <w:tcW w:w="1408" w:type="dxa"/>
            <w:vAlign w:val="center"/>
          </w:tcPr>
          <w:p w14:paraId="1D71515D"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Test Statistic</w:t>
            </w:r>
          </w:p>
        </w:tc>
        <w:tc>
          <w:tcPr>
            <w:tcW w:w="1622" w:type="dxa"/>
            <w:vAlign w:val="center"/>
          </w:tcPr>
          <w:p w14:paraId="1F4B0BC4"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Test</w:t>
            </w:r>
          </w:p>
        </w:tc>
        <w:tc>
          <w:tcPr>
            <w:tcW w:w="1516" w:type="dxa"/>
            <w:vAlign w:val="center"/>
          </w:tcPr>
          <w:p w14:paraId="1D0F33C6"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rPr>
              <w:t>Independent Variable</w:t>
            </w:r>
          </w:p>
        </w:tc>
      </w:tr>
      <w:tr w:rsidR="00146D68" w:rsidRPr="00C862C2" w14:paraId="700A20DD" w14:textId="77777777" w:rsidTr="00C862C2">
        <w:trPr>
          <w:trHeight w:val="572"/>
        </w:trPr>
        <w:tc>
          <w:tcPr>
            <w:tcW w:w="1514" w:type="dxa"/>
            <w:vAlign w:val="center"/>
          </w:tcPr>
          <w:p w14:paraId="5CAF18BE"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Pooled (Panel)</w:t>
            </w:r>
          </w:p>
        </w:tc>
        <w:tc>
          <w:tcPr>
            <w:tcW w:w="1514" w:type="dxa"/>
            <w:vAlign w:val="center"/>
          </w:tcPr>
          <w:p w14:paraId="44551042"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0.0000</w:t>
            </w:r>
          </w:p>
        </w:tc>
        <w:tc>
          <w:tcPr>
            <w:tcW w:w="1516" w:type="dxa"/>
            <w:vAlign w:val="center"/>
          </w:tcPr>
          <w:p w14:paraId="0E5D88A6"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(139, 973)</w:t>
            </w:r>
          </w:p>
        </w:tc>
        <w:tc>
          <w:tcPr>
            <w:tcW w:w="1408" w:type="dxa"/>
            <w:vAlign w:val="center"/>
          </w:tcPr>
          <w:p w14:paraId="35500586"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1.963773</w:t>
            </w:r>
          </w:p>
        </w:tc>
        <w:tc>
          <w:tcPr>
            <w:tcW w:w="1622" w:type="dxa"/>
            <w:vAlign w:val="center"/>
          </w:tcPr>
          <w:p w14:paraId="59F0A884"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Chow (F Limar)</w:t>
            </w:r>
          </w:p>
        </w:tc>
        <w:tc>
          <w:tcPr>
            <w:tcW w:w="1516" w:type="dxa"/>
            <w:vAlign w:val="center"/>
          </w:tcPr>
          <w:p w14:paraId="007DAAB2"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Growth Stage</w:t>
            </w:r>
          </w:p>
        </w:tc>
      </w:tr>
      <w:tr w:rsidR="00146D68" w:rsidRPr="00C862C2" w14:paraId="5B2E1D2A" w14:textId="77777777" w:rsidTr="00C862C2">
        <w:trPr>
          <w:trHeight w:val="278"/>
        </w:trPr>
        <w:tc>
          <w:tcPr>
            <w:tcW w:w="1514" w:type="dxa"/>
            <w:vAlign w:val="center"/>
          </w:tcPr>
          <w:p w14:paraId="4F9BB2F3"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Fixed Effects</w:t>
            </w:r>
          </w:p>
        </w:tc>
        <w:tc>
          <w:tcPr>
            <w:tcW w:w="1514" w:type="dxa"/>
            <w:vAlign w:val="center"/>
          </w:tcPr>
          <w:p w14:paraId="232CF29D"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0.0000</w:t>
            </w:r>
          </w:p>
        </w:tc>
        <w:tc>
          <w:tcPr>
            <w:tcW w:w="1516" w:type="dxa"/>
            <w:vAlign w:val="center"/>
          </w:tcPr>
          <w:p w14:paraId="0E643ED0"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7</w:t>
            </w:r>
          </w:p>
        </w:tc>
        <w:tc>
          <w:tcPr>
            <w:tcW w:w="1408" w:type="dxa"/>
            <w:vAlign w:val="center"/>
          </w:tcPr>
          <w:p w14:paraId="36CA79DF"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116.900950</w:t>
            </w:r>
          </w:p>
        </w:tc>
        <w:tc>
          <w:tcPr>
            <w:tcW w:w="1622" w:type="dxa"/>
            <w:vAlign w:val="center"/>
          </w:tcPr>
          <w:p w14:paraId="10B21E5B"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Hausman</w:t>
            </w:r>
          </w:p>
        </w:tc>
        <w:tc>
          <w:tcPr>
            <w:tcW w:w="1516" w:type="dxa"/>
            <w:vAlign w:val="center"/>
          </w:tcPr>
          <w:p w14:paraId="1C434155" w14:textId="77777777" w:rsidR="00146D68" w:rsidRPr="00C862C2" w:rsidRDefault="00146D68" w:rsidP="00C862C2">
            <w:pPr>
              <w:rPr>
                <w:rFonts w:ascii="Times New Roman" w:hAnsi="Times New Roman" w:cs="Times New Roman"/>
                <w:rtl/>
              </w:rPr>
            </w:pPr>
          </w:p>
        </w:tc>
      </w:tr>
      <w:tr w:rsidR="00146D68" w:rsidRPr="00C862C2" w14:paraId="2944C198" w14:textId="77777777" w:rsidTr="00C862C2">
        <w:trPr>
          <w:trHeight w:val="556"/>
        </w:trPr>
        <w:tc>
          <w:tcPr>
            <w:tcW w:w="1514" w:type="dxa"/>
            <w:vAlign w:val="center"/>
          </w:tcPr>
          <w:p w14:paraId="1321B272"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Pooled (Panel)</w:t>
            </w:r>
          </w:p>
        </w:tc>
        <w:tc>
          <w:tcPr>
            <w:tcW w:w="1514" w:type="dxa"/>
            <w:vAlign w:val="center"/>
          </w:tcPr>
          <w:p w14:paraId="0EC77F42"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0.0000</w:t>
            </w:r>
          </w:p>
        </w:tc>
        <w:tc>
          <w:tcPr>
            <w:tcW w:w="1516" w:type="dxa"/>
            <w:vAlign w:val="center"/>
          </w:tcPr>
          <w:p w14:paraId="1669B12A"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(139, 973)</w:t>
            </w:r>
          </w:p>
        </w:tc>
        <w:tc>
          <w:tcPr>
            <w:tcW w:w="1408" w:type="dxa"/>
            <w:vAlign w:val="center"/>
          </w:tcPr>
          <w:p w14:paraId="6FBE55D9"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1.972262</w:t>
            </w:r>
          </w:p>
        </w:tc>
        <w:tc>
          <w:tcPr>
            <w:tcW w:w="1622" w:type="dxa"/>
            <w:vAlign w:val="center"/>
          </w:tcPr>
          <w:p w14:paraId="73F04B82"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Chow (F Limar)</w:t>
            </w:r>
          </w:p>
        </w:tc>
        <w:tc>
          <w:tcPr>
            <w:tcW w:w="1516" w:type="dxa"/>
            <w:vAlign w:val="center"/>
          </w:tcPr>
          <w:p w14:paraId="648DA6CC"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Maturation Stage</w:t>
            </w:r>
          </w:p>
        </w:tc>
      </w:tr>
      <w:tr w:rsidR="00146D68" w:rsidRPr="00C862C2" w14:paraId="3EB45192" w14:textId="77777777" w:rsidTr="00C862C2">
        <w:trPr>
          <w:trHeight w:val="293"/>
        </w:trPr>
        <w:tc>
          <w:tcPr>
            <w:tcW w:w="1514" w:type="dxa"/>
            <w:vAlign w:val="center"/>
          </w:tcPr>
          <w:p w14:paraId="4DC3A3C2"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Fixed Effects</w:t>
            </w:r>
          </w:p>
        </w:tc>
        <w:tc>
          <w:tcPr>
            <w:tcW w:w="1514" w:type="dxa"/>
            <w:vAlign w:val="center"/>
          </w:tcPr>
          <w:p w14:paraId="656E2483"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0.0000</w:t>
            </w:r>
          </w:p>
        </w:tc>
        <w:tc>
          <w:tcPr>
            <w:tcW w:w="1516" w:type="dxa"/>
            <w:vAlign w:val="center"/>
          </w:tcPr>
          <w:p w14:paraId="4D7BAA07"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7</w:t>
            </w:r>
          </w:p>
        </w:tc>
        <w:tc>
          <w:tcPr>
            <w:tcW w:w="1408" w:type="dxa"/>
            <w:vAlign w:val="center"/>
          </w:tcPr>
          <w:p w14:paraId="1C36B2B9"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118.192035</w:t>
            </w:r>
          </w:p>
        </w:tc>
        <w:tc>
          <w:tcPr>
            <w:tcW w:w="1622" w:type="dxa"/>
            <w:vAlign w:val="center"/>
          </w:tcPr>
          <w:p w14:paraId="7973376C"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Hausman</w:t>
            </w:r>
          </w:p>
        </w:tc>
        <w:tc>
          <w:tcPr>
            <w:tcW w:w="1516" w:type="dxa"/>
            <w:vAlign w:val="center"/>
          </w:tcPr>
          <w:p w14:paraId="542230BB" w14:textId="77777777" w:rsidR="00146D68" w:rsidRPr="00C862C2" w:rsidRDefault="00146D68" w:rsidP="00C862C2">
            <w:pPr>
              <w:rPr>
                <w:rFonts w:ascii="Times New Roman" w:hAnsi="Times New Roman" w:cs="Times New Roman"/>
                <w:rtl/>
              </w:rPr>
            </w:pPr>
          </w:p>
        </w:tc>
      </w:tr>
      <w:tr w:rsidR="00146D68" w:rsidRPr="00C862C2" w14:paraId="45D108CD" w14:textId="77777777" w:rsidTr="00C862C2">
        <w:trPr>
          <w:trHeight w:val="556"/>
        </w:trPr>
        <w:tc>
          <w:tcPr>
            <w:tcW w:w="1514" w:type="dxa"/>
            <w:vAlign w:val="center"/>
          </w:tcPr>
          <w:p w14:paraId="26AA2D80"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Pooled (Panel)</w:t>
            </w:r>
          </w:p>
        </w:tc>
        <w:tc>
          <w:tcPr>
            <w:tcW w:w="1514" w:type="dxa"/>
            <w:vAlign w:val="center"/>
          </w:tcPr>
          <w:p w14:paraId="69A04AB5"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0.0000</w:t>
            </w:r>
          </w:p>
        </w:tc>
        <w:tc>
          <w:tcPr>
            <w:tcW w:w="1516" w:type="dxa"/>
            <w:vAlign w:val="center"/>
          </w:tcPr>
          <w:p w14:paraId="455EFF55"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(139, 973)</w:t>
            </w:r>
          </w:p>
        </w:tc>
        <w:tc>
          <w:tcPr>
            <w:tcW w:w="1408" w:type="dxa"/>
            <w:vAlign w:val="center"/>
          </w:tcPr>
          <w:p w14:paraId="68764A33"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1.961719</w:t>
            </w:r>
          </w:p>
        </w:tc>
        <w:tc>
          <w:tcPr>
            <w:tcW w:w="1622" w:type="dxa"/>
            <w:vAlign w:val="center"/>
          </w:tcPr>
          <w:p w14:paraId="1D097D11"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Chow (F Limar)</w:t>
            </w:r>
          </w:p>
        </w:tc>
        <w:tc>
          <w:tcPr>
            <w:tcW w:w="1516" w:type="dxa"/>
            <w:vAlign w:val="center"/>
          </w:tcPr>
          <w:p w14:paraId="100FB64B"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Decline Stage</w:t>
            </w:r>
          </w:p>
        </w:tc>
      </w:tr>
      <w:tr w:rsidR="00146D68" w:rsidRPr="00C862C2" w14:paraId="788CCB64" w14:textId="77777777" w:rsidTr="00C862C2">
        <w:trPr>
          <w:trHeight w:val="278"/>
        </w:trPr>
        <w:tc>
          <w:tcPr>
            <w:tcW w:w="1514" w:type="dxa"/>
            <w:vAlign w:val="center"/>
          </w:tcPr>
          <w:p w14:paraId="7F4B8B18"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Fixed Effects</w:t>
            </w:r>
          </w:p>
        </w:tc>
        <w:tc>
          <w:tcPr>
            <w:tcW w:w="1514" w:type="dxa"/>
            <w:vAlign w:val="center"/>
          </w:tcPr>
          <w:p w14:paraId="102403C5"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0.0000</w:t>
            </w:r>
          </w:p>
        </w:tc>
        <w:tc>
          <w:tcPr>
            <w:tcW w:w="1516" w:type="dxa"/>
            <w:vAlign w:val="center"/>
          </w:tcPr>
          <w:p w14:paraId="50B14D58"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7</w:t>
            </w:r>
          </w:p>
        </w:tc>
        <w:tc>
          <w:tcPr>
            <w:tcW w:w="1408" w:type="dxa"/>
            <w:vAlign w:val="center"/>
          </w:tcPr>
          <w:p w14:paraId="3CF10C53"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114.488694</w:t>
            </w:r>
          </w:p>
        </w:tc>
        <w:tc>
          <w:tcPr>
            <w:tcW w:w="1622" w:type="dxa"/>
            <w:vAlign w:val="center"/>
          </w:tcPr>
          <w:p w14:paraId="0672A073" w14:textId="77777777" w:rsidR="00146D68" w:rsidRPr="00C862C2" w:rsidRDefault="00146D68" w:rsidP="00C862C2">
            <w:pPr>
              <w:rPr>
                <w:rFonts w:ascii="Times New Roman" w:hAnsi="Times New Roman" w:cs="Times New Roman"/>
                <w:rtl/>
              </w:rPr>
            </w:pPr>
            <w:r w:rsidRPr="00C862C2">
              <w:rPr>
                <w:rFonts w:ascii="Times New Roman" w:hAnsi="Times New Roman" w:cs="Times New Roman"/>
                <w:shd w:val="clear" w:color="auto" w:fill="FFFFFF"/>
              </w:rPr>
              <w:t>Hausman</w:t>
            </w:r>
          </w:p>
        </w:tc>
        <w:tc>
          <w:tcPr>
            <w:tcW w:w="1516" w:type="dxa"/>
            <w:vAlign w:val="center"/>
          </w:tcPr>
          <w:p w14:paraId="76821C83" w14:textId="77777777" w:rsidR="00146D68" w:rsidRPr="00C862C2" w:rsidRDefault="00146D68" w:rsidP="00C862C2">
            <w:pPr>
              <w:rPr>
                <w:rFonts w:ascii="Times New Roman" w:hAnsi="Times New Roman" w:cs="Times New Roman"/>
                <w:rtl/>
              </w:rPr>
            </w:pPr>
          </w:p>
        </w:tc>
      </w:tr>
    </w:tbl>
    <w:p w14:paraId="1E0C523E" w14:textId="77777777" w:rsidR="00146D68" w:rsidRPr="00C862C2" w:rsidRDefault="00146D68" w:rsidP="00C862C2">
      <w:pPr>
        <w:spacing w:after="0" w:line="240" w:lineRule="auto"/>
        <w:jc w:val="both"/>
        <w:outlineLvl w:val="2"/>
        <w:rPr>
          <w:rFonts w:ascii="Times New Roman" w:eastAsia="Times New Roman" w:hAnsi="Times New Roman" w:cs="Times New Roman"/>
          <w:b/>
          <w:bCs/>
        </w:rPr>
      </w:pPr>
    </w:p>
    <w:p w14:paraId="536FCCE3" w14:textId="5D9E5413" w:rsidR="00E46824" w:rsidRPr="00C862C2" w:rsidRDefault="00E46824" w:rsidP="00C862C2">
      <w:pPr>
        <w:spacing w:after="0" w:line="240" w:lineRule="auto"/>
        <w:jc w:val="both"/>
        <w:outlineLvl w:val="2"/>
        <w:rPr>
          <w:rFonts w:ascii="Times New Roman" w:eastAsia="Times New Roman" w:hAnsi="Times New Roman" w:cs="Times New Roman"/>
          <w:b/>
          <w:bCs/>
        </w:rPr>
      </w:pPr>
      <w:r w:rsidRPr="00C862C2">
        <w:rPr>
          <w:rFonts w:ascii="Times New Roman" w:eastAsia="Times New Roman" w:hAnsi="Times New Roman" w:cs="Times New Roman"/>
          <w:b/>
          <w:bCs/>
        </w:rPr>
        <w:t>5.1.2. Model Estimation</w:t>
      </w:r>
    </w:p>
    <w:p w14:paraId="031413DC" w14:textId="77777777" w:rsidR="00E46824" w:rsidRPr="00C862C2" w:rsidRDefault="00E46824"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In this study, the Durbin–Watson test was applied to examine autocorrelation, and the Breusch–Pagan test was used to assess heteroscedasticity. The Durbin–Watson statistics fall within the acceptable range of 1.5 to 2.5, indicating no autocorrelation. In addition, the Breusch–Pagan test results (p &gt; 0.05) confirm homoscedasticity of the error terms.</w:t>
      </w:r>
    </w:p>
    <w:p w14:paraId="344A87E9" w14:textId="77777777" w:rsidR="00E46824" w:rsidRPr="00C862C2" w:rsidRDefault="00E46824" w:rsidP="00C862C2">
      <w:pPr>
        <w:spacing w:after="0" w:line="240" w:lineRule="auto"/>
        <w:jc w:val="both"/>
        <w:rPr>
          <w:rFonts w:ascii="Times New Roman" w:eastAsia="Times New Roman" w:hAnsi="Times New Roman" w:cs="Times New Roman"/>
          <w:rtl/>
          <w:lang w:bidi="fa-IR"/>
        </w:rPr>
      </w:pPr>
      <w:r w:rsidRPr="00C862C2">
        <w:rPr>
          <w:rFonts w:ascii="Times New Roman" w:eastAsia="Times New Roman" w:hAnsi="Times New Roman" w:cs="Times New Roman"/>
        </w:rPr>
        <w:t>To evaluate multicollinearity, the Variance Inflation Factor (VIF) was calculated. All VIF values are below the critical threshold of 10, indicating no serious multicollinearity problem. Therefore, the estimated coefficients are not affected by internal correlations among explanatory variables.</w:t>
      </w:r>
    </w:p>
    <w:p w14:paraId="2A4CB6D6" w14:textId="77777777" w:rsidR="00E46824" w:rsidRPr="00C862C2" w:rsidRDefault="00E46824"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Regarding model fit, the F-statistic is significant at the 1% level (p &lt; 0.05), confirming the overall validity of the regression model. The adjusted R-squared values show that the model explains more than 46% of the variation in accounting conservatism in the growth and maturity stages, and approximately 47% in the decline stage.</w:t>
      </w:r>
    </w:p>
    <w:p w14:paraId="504A20F0" w14:textId="77777777" w:rsidR="00146D68" w:rsidRPr="00C862C2" w:rsidRDefault="00146D68" w:rsidP="00C862C2">
      <w:pPr>
        <w:spacing w:after="0" w:line="240" w:lineRule="auto"/>
        <w:jc w:val="both"/>
        <w:rPr>
          <w:rFonts w:ascii="Times New Roman" w:eastAsia="Times New Roman" w:hAnsi="Times New Roman" w:cs="Times New Roman"/>
        </w:rPr>
      </w:pPr>
    </w:p>
    <w:p w14:paraId="73D495C3" w14:textId="5B4010E6" w:rsidR="00146D68" w:rsidRPr="00C862C2" w:rsidRDefault="00146D68" w:rsidP="00C862C2">
      <w:pPr>
        <w:spacing w:after="0" w:line="240" w:lineRule="auto"/>
        <w:jc w:val="both"/>
        <w:rPr>
          <w:rFonts w:ascii="Times New Roman" w:hAnsi="Times New Roman" w:cs="Times New Roman"/>
          <w:rtl/>
        </w:rPr>
      </w:pPr>
      <w:r w:rsidRPr="00C862C2">
        <w:rPr>
          <w:rFonts w:ascii="Times New Roman" w:hAnsi="Times New Roman" w:cs="Times New Roman"/>
          <w:b/>
          <w:bCs/>
        </w:rPr>
        <w:t>Table 6.</w:t>
      </w:r>
      <w:r w:rsidRPr="00C862C2">
        <w:rPr>
          <w:rFonts w:ascii="Times New Roman" w:hAnsi="Times New Roman" w:cs="Times New Roman"/>
        </w:rPr>
        <w:t xml:space="preserve"> Regression Model Estimation Results</w:t>
      </w:r>
    </w:p>
    <w:tbl>
      <w:tblPr>
        <w:bidiVisual/>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103"/>
        <w:gridCol w:w="952"/>
        <w:gridCol w:w="623"/>
        <w:gridCol w:w="805"/>
        <w:gridCol w:w="623"/>
        <w:gridCol w:w="623"/>
        <w:gridCol w:w="623"/>
        <w:gridCol w:w="805"/>
        <w:gridCol w:w="608"/>
        <w:gridCol w:w="639"/>
        <w:gridCol w:w="604"/>
        <w:gridCol w:w="816"/>
      </w:tblGrid>
      <w:tr w:rsidR="00146D68" w:rsidRPr="00C862C2" w14:paraId="5CCFF647" w14:textId="77777777" w:rsidTr="00C862C2">
        <w:trPr>
          <w:trHeight w:val="70"/>
          <w:jc w:val="center"/>
        </w:trPr>
        <w:tc>
          <w:tcPr>
            <w:tcW w:w="428" w:type="pct"/>
            <w:vAlign w:val="center"/>
          </w:tcPr>
          <w:p w14:paraId="3D824C68" w14:textId="77777777" w:rsidR="00146D68" w:rsidRPr="00C862C2" w:rsidRDefault="00146D68" w:rsidP="00C862C2">
            <w:pPr>
              <w:spacing w:after="0" w:line="240" w:lineRule="auto"/>
              <w:jc w:val="center"/>
              <w:rPr>
                <w:rFonts w:ascii="Times New Roman" w:hAnsi="Times New Roman" w:cs="Times New Roman"/>
                <w:rtl/>
              </w:rPr>
            </w:pPr>
            <w:bookmarkStart w:id="2" w:name="_Hlk168814168"/>
            <w:r w:rsidRPr="00C862C2">
              <w:rPr>
                <w:rFonts w:ascii="Times New Roman" w:hAnsi="Times New Roman" w:cs="Times New Roman"/>
              </w:rPr>
              <w:t>Dependent Variable</w:t>
            </w:r>
          </w:p>
        </w:tc>
        <w:tc>
          <w:tcPr>
            <w:tcW w:w="4572" w:type="pct"/>
            <w:gridSpan w:val="12"/>
            <w:vAlign w:val="center"/>
          </w:tcPr>
          <w:p w14:paraId="4ABA014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Accounting Conservatism</w:t>
            </w:r>
          </w:p>
        </w:tc>
      </w:tr>
      <w:tr w:rsidR="00146D68" w:rsidRPr="00C862C2" w14:paraId="43845B50" w14:textId="77777777" w:rsidTr="00C862C2">
        <w:trPr>
          <w:trHeight w:val="70"/>
          <w:jc w:val="center"/>
        </w:trPr>
        <w:tc>
          <w:tcPr>
            <w:tcW w:w="428" w:type="pct"/>
            <w:vAlign w:val="center"/>
          </w:tcPr>
          <w:p w14:paraId="3127FACE"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Variable</w:t>
            </w:r>
          </w:p>
        </w:tc>
        <w:tc>
          <w:tcPr>
            <w:tcW w:w="571" w:type="pct"/>
            <w:vAlign w:val="center"/>
          </w:tcPr>
          <w:p w14:paraId="65CD71B9"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Coefficient</w:t>
            </w:r>
          </w:p>
        </w:tc>
        <w:tc>
          <w:tcPr>
            <w:tcW w:w="493" w:type="pct"/>
            <w:vAlign w:val="center"/>
          </w:tcPr>
          <w:p w14:paraId="1590AB97"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t-statistic</w:t>
            </w:r>
          </w:p>
        </w:tc>
        <w:tc>
          <w:tcPr>
            <w:tcW w:w="323" w:type="pct"/>
            <w:vAlign w:val="center"/>
          </w:tcPr>
          <w:p w14:paraId="6A136A1D"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Significance</w:t>
            </w:r>
          </w:p>
        </w:tc>
        <w:tc>
          <w:tcPr>
            <w:tcW w:w="416" w:type="pct"/>
            <w:vAlign w:val="center"/>
          </w:tcPr>
          <w:p w14:paraId="05DAC576"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Homoscedasticity</w:t>
            </w:r>
          </w:p>
        </w:tc>
        <w:tc>
          <w:tcPr>
            <w:tcW w:w="323" w:type="pct"/>
            <w:vAlign w:val="center"/>
          </w:tcPr>
          <w:p w14:paraId="34D5FB10"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Coefficient</w:t>
            </w:r>
          </w:p>
        </w:tc>
        <w:tc>
          <w:tcPr>
            <w:tcW w:w="323" w:type="pct"/>
            <w:vAlign w:val="center"/>
          </w:tcPr>
          <w:p w14:paraId="100D5B53"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t-statistic</w:t>
            </w:r>
          </w:p>
        </w:tc>
        <w:tc>
          <w:tcPr>
            <w:tcW w:w="323" w:type="pct"/>
            <w:vAlign w:val="center"/>
          </w:tcPr>
          <w:p w14:paraId="6B752FB4"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Significance</w:t>
            </w:r>
          </w:p>
        </w:tc>
        <w:tc>
          <w:tcPr>
            <w:tcW w:w="417" w:type="pct"/>
            <w:vAlign w:val="center"/>
          </w:tcPr>
          <w:p w14:paraId="09B40135"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Homoscedasticity</w:t>
            </w:r>
          </w:p>
        </w:tc>
        <w:tc>
          <w:tcPr>
            <w:tcW w:w="315" w:type="pct"/>
            <w:vAlign w:val="center"/>
          </w:tcPr>
          <w:p w14:paraId="599F089F"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Coefficient</w:t>
            </w:r>
          </w:p>
        </w:tc>
        <w:tc>
          <w:tcPr>
            <w:tcW w:w="331" w:type="pct"/>
            <w:vAlign w:val="center"/>
          </w:tcPr>
          <w:p w14:paraId="451AA8B5"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t-statistic</w:t>
            </w:r>
          </w:p>
        </w:tc>
        <w:tc>
          <w:tcPr>
            <w:tcW w:w="313" w:type="pct"/>
            <w:vAlign w:val="center"/>
          </w:tcPr>
          <w:p w14:paraId="2AC705A4"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Significance</w:t>
            </w:r>
          </w:p>
        </w:tc>
        <w:tc>
          <w:tcPr>
            <w:tcW w:w="422" w:type="pct"/>
            <w:vAlign w:val="center"/>
          </w:tcPr>
          <w:p w14:paraId="30302EE9"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Homoscedasticity</w:t>
            </w:r>
          </w:p>
        </w:tc>
      </w:tr>
      <w:tr w:rsidR="00146D68" w:rsidRPr="00C862C2" w14:paraId="65BCDBE8" w14:textId="77777777" w:rsidTr="00C862C2">
        <w:trPr>
          <w:trHeight w:val="70"/>
          <w:jc w:val="center"/>
        </w:trPr>
        <w:tc>
          <w:tcPr>
            <w:tcW w:w="428" w:type="pct"/>
            <w:vAlign w:val="center"/>
          </w:tcPr>
          <w:p w14:paraId="47AFEE8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C</w:t>
            </w:r>
          </w:p>
        </w:tc>
        <w:tc>
          <w:tcPr>
            <w:tcW w:w="571" w:type="pct"/>
            <w:vAlign w:val="center"/>
          </w:tcPr>
          <w:p w14:paraId="435E31B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-0.530823</w:t>
            </w:r>
          </w:p>
        </w:tc>
        <w:tc>
          <w:tcPr>
            <w:tcW w:w="493" w:type="pct"/>
            <w:vAlign w:val="center"/>
          </w:tcPr>
          <w:p w14:paraId="0FA62BA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-8.786320</w:t>
            </w:r>
          </w:p>
        </w:tc>
        <w:tc>
          <w:tcPr>
            <w:tcW w:w="323" w:type="pct"/>
            <w:vAlign w:val="center"/>
          </w:tcPr>
          <w:p w14:paraId="74E6386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6" w:type="pct"/>
            <w:vAlign w:val="center"/>
          </w:tcPr>
          <w:p w14:paraId="3F0FB0B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23" w:type="pct"/>
            <w:vAlign w:val="center"/>
          </w:tcPr>
          <w:p w14:paraId="57FB7E4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-0.537527</w:t>
            </w:r>
          </w:p>
        </w:tc>
        <w:tc>
          <w:tcPr>
            <w:tcW w:w="323" w:type="pct"/>
            <w:vAlign w:val="center"/>
          </w:tcPr>
          <w:p w14:paraId="66273D4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-8.948508</w:t>
            </w:r>
          </w:p>
        </w:tc>
        <w:tc>
          <w:tcPr>
            <w:tcW w:w="323" w:type="pct"/>
            <w:vAlign w:val="center"/>
          </w:tcPr>
          <w:p w14:paraId="0A67D44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7" w:type="pct"/>
            <w:vAlign w:val="center"/>
          </w:tcPr>
          <w:p w14:paraId="4C481DD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15" w:type="pct"/>
            <w:vAlign w:val="center"/>
          </w:tcPr>
          <w:p w14:paraId="05AE47E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-0.506552</w:t>
            </w:r>
          </w:p>
        </w:tc>
        <w:tc>
          <w:tcPr>
            <w:tcW w:w="331" w:type="pct"/>
            <w:vAlign w:val="center"/>
          </w:tcPr>
          <w:p w14:paraId="0A085D1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-8.332553</w:t>
            </w:r>
          </w:p>
        </w:tc>
        <w:tc>
          <w:tcPr>
            <w:tcW w:w="313" w:type="pct"/>
            <w:vAlign w:val="center"/>
          </w:tcPr>
          <w:p w14:paraId="7DE88A87"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22" w:type="pct"/>
            <w:vAlign w:val="center"/>
          </w:tcPr>
          <w:p w14:paraId="5D17664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r>
      <w:tr w:rsidR="00146D68" w:rsidRPr="00C862C2" w14:paraId="5714868F" w14:textId="77777777" w:rsidTr="00C862C2">
        <w:trPr>
          <w:trHeight w:val="111"/>
          <w:jc w:val="center"/>
        </w:trPr>
        <w:tc>
          <w:tcPr>
            <w:tcW w:w="428" w:type="pct"/>
            <w:vAlign w:val="center"/>
          </w:tcPr>
          <w:p w14:paraId="194D531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GR</w:t>
            </w:r>
          </w:p>
        </w:tc>
        <w:tc>
          <w:tcPr>
            <w:tcW w:w="571" w:type="pct"/>
            <w:vAlign w:val="center"/>
          </w:tcPr>
          <w:p w14:paraId="467A2E5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-0.016550</w:t>
            </w:r>
          </w:p>
        </w:tc>
        <w:tc>
          <w:tcPr>
            <w:tcW w:w="493" w:type="pct"/>
            <w:vAlign w:val="center"/>
          </w:tcPr>
          <w:p w14:paraId="585193C7"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-5.653900</w:t>
            </w:r>
          </w:p>
        </w:tc>
        <w:tc>
          <w:tcPr>
            <w:tcW w:w="323" w:type="pct"/>
            <w:vAlign w:val="center"/>
          </w:tcPr>
          <w:p w14:paraId="4C9F2C0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6" w:type="pct"/>
            <w:vAlign w:val="center"/>
          </w:tcPr>
          <w:p w14:paraId="11682617"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1.007846</w:t>
            </w:r>
          </w:p>
        </w:tc>
        <w:tc>
          <w:tcPr>
            <w:tcW w:w="323" w:type="pct"/>
            <w:vAlign w:val="center"/>
          </w:tcPr>
          <w:p w14:paraId="638A004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23" w:type="pct"/>
            <w:vAlign w:val="center"/>
          </w:tcPr>
          <w:p w14:paraId="40392E9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23" w:type="pct"/>
            <w:vAlign w:val="center"/>
          </w:tcPr>
          <w:p w14:paraId="6CBCE9F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417" w:type="pct"/>
            <w:vAlign w:val="center"/>
          </w:tcPr>
          <w:p w14:paraId="2668686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15" w:type="pct"/>
            <w:vAlign w:val="center"/>
          </w:tcPr>
          <w:p w14:paraId="0E7ABA0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31" w:type="pct"/>
            <w:vAlign w:val="center"/>
          </w:tcPr>
          <w:p w14:paraId="153E3F6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13" w:type="pct"/>
            <w:vAlign w:val="center"/>
          </w:tcPr>
          <w:p w14:paraId="1013557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422" w:type="pct"/>
            <w:vAlign w:val="center"/>
          </w:tcPr>
          <w:p w14:paraId="50C2AA8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r>
      <w:tr w:rsidR="00146D68" w:rsidRPr="00C862C2" w14:paraId="3895EB23" w14:textId="77777777" w:rsidTr="00C862C2">
        <w:trPr>
          <w:trHeight w:val="70"/>
          <w:jc w:val="center"/>
        </w:trPr>
        <w:tc>
          <w:tcPr>
            <w:tcW w:w="428" w:type="pct"/>
            <w:vAlign w:val="center"/>
          </w:tcPr>
          <w:p w14:paraId="497AF86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MAT</w:t>
            </w:r>
          </w:p>
        </w:tc>
        <w:tc>
          <w:tcPr>
            <w:tcW w:w="571" w:type="pct"/>
            <w:vAlign w:val="center"/>
          </w:tcPr>
          <w:p w14:paraId="0D98B38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493" w:type="pct"/>
            <w:vAlign w:val="center"/>
          </w:tcPr>
          <w:p w14:paraId="362C24A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23" w:type="pct"/>
            <w:vAlign w:val="center"/>
          </w:tcPr>
          <w:p w14:paraId="5686CFA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416" w:type="pct"/>
            <w:vAlign w:val="center"/>
          </w:tcPr>
          <w:p w14:paraId="0CD8B08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23" w:type="pct"/>
            <w:vAlign w:val="center"/>
          </w:tcPr>
          <w:p w14:paraId="6FF8FEB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0.010310</w:t>
            </w:r>
          </w:p>
        </w:tc>
        <w:tc>
          <w:tcPr>
            <w:tcW w:w="323" w:type="pct"/>
            <w:vAlign w:val="center"/>
          </w:tcPr>
          <w:p w14:paraId="3E516E6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6.434776</w:t>
            </w:r>
          </w:p>
        </w:tc>
        <w:tc>
          <w:tcPr>
            <w:tcW w:w="323" w:type="pct"/>
            <w:vAlign w:val="center"/>
          </w:tcPr>
          <w:p w14:paraId="5504514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7" w:type="pct"/>
            <w:vAlign w:val="center"/>
          </w:tcPr>
          <w:p w14:paraId="21AF336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1.014600</w:t>
            </w:r>
          </w:p>
        </w:tc>
        <w:tc>
          <w:tcPr>
            <w:tcW w:w="315" w:type="pct"/>
            <w:vAlign w:val="center"/>
          </w:tcPr>
          <w:p w14:paraId="59533CF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31" w:type="pct"/>
            <w:vAlign w:val="center"/>
          </w:tcPr>
          <w:p w14:paraId="695603E7"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13" w:type="pct"/>
            <w:vAlign w:val="center"/>
          </w:tcPr>
          <w:p w14:paraId="23E095A7"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422" w:type="pct"/>
            <w:vAlign w:val="center"/>
          </w:tcPr>
          <w:p w14:paraId="79D9EE3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r>
      <w:tr w:rsidR="00146D68" w:rsidRPr="00C862C2" w14:paraId="5FFD8CE0" w14:textId="77777777" w:rsidTr="00C862C2">
        <w:trPr>
          <w:trHeight w:val="111"/>
          <w:jc w:val="center"/>
        </w:trPr>
        <w:tc>
          <w:tcPr>
            <w:tcW w:w="428" w:type="pct"/>
            <w:vAlign w:val="center"/>
          </w:tcPr>
          <w:p w14:paraId="6A6A681E"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DEC</w:t>
            </w:r>
          </w:p>
        </w:tc>
        <w:tc>
          <w:tcPr>
            <w:tcW w:w="571" w:type="pct"/>
            <w:vAlign w:val="center"/>
          </w:tcPr>
          <w:p w14:paraId="0F292EE7"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493" w:type="pct"/>
            <w:vAlign w:val="center"/>
          </w:tcPr>
          <w:p w14:paraId="39F90BE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23" w:type="pct"/>
            <w:vAlign w:val="center"/>
          </w:tcPr>
          <w:p w14:paraId="2249F79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416" w:type="pct"/>
            <w:vAlign w:val="center"/>
          </w:tcPr>
          <w:p w14:paraId="0AACBD9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23" w:type="pct"/>
            <w:vAlign w:val="center"/>
          </w:tcPr>
          <w:p w14:paraId="1FF314B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23" w:type="pct"/>
            <w:vAlign w:val="center"/>
          </w:tcPr>
          <w:p w14:paraId="4B6F754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23" w:type="pct"/>
            <w:vAlign w:val="center"/>
          </w:tcPr>
          <w:p w14:paraId="0DF3A7E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417" w:type="pct"/>
            <w:vAlign w:val="center"/>
          </w:tcPr>
          <w:p w14:paraId="577CDA6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315" w:type="pct"/>
            <w:vAlign w:val="center"/>
          </w:tcPr>
          <w:p w14:paraId="6BD27B1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-0.019020</w:t>
            </w:r>
          </w:p>
        </w:tc>
        <w:tc>
          <w:tcPr>
            <w:tcW w:w="331" w:type="pct"/>
            <w:vAlign w:val="center"/>
          </w:tcPr>
          <w:p w14:paraId="04C87ED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-10.67567</w:t>
            </w:r>
          </w:p>
        </w:tc>
        <w:tc>
          <w:tcPr>
            <w:tcW w:w="313" w:type="pct"/>
            <w:vAlign w:val="center"/>
          </w:tcPr>
          <w:p w14:paraId="1AB5D59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22" w:type="pct"/>
            <w:vAlign w:val="center"/>
          </w:tcPr>
          <w:p w14:paraId="4CCFEE8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1.020815</w:t>
            </w:r>
          </w:p>
        </w:tc>
      </w:tr>
      <w:tr w:rsidR="00146D68" w:rsidRPr="00C862C2" w14:paraId="6A7AB580" w14:textId="77777777" w:rsidTr="00C862C2">
        <w:trPr>
          <w:trHeight w:val="147"/>
          <w:jc w:val="center"/>
        </w:trPr>
        <w:tc>
          <w:tcPr>
            <w:tcW w:w="428" w:type="pct"/>
            <w:vAlign w:val="center"/>
          </w:tcPr>
          <w:p w14:paraId="1D12483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SIZE</w:t>
            </w:r>
          </w:p>
        </w:tc>
        <w:tc>
          <w:tcPr>
            <w:tcW w:w="571" w:type="pct"/>
            <w:vAlign w:val="center"/>
          </w:tcPr>
          <w:p w14:paraId="616838F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0.007399</w:t>
            </w:r>
          </w:p>
        </w:tc>
        <w:tc>
          <w:tcPr>
            <w:tcW w:w="493" w:type="pct"/>
            <w:vAlign w:val="center"/>
          </w:tcPr>
          <w:p w14:paraId="765E72A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15.89751</w:t>
            </w:r>
          </w:p>
        </w:tc>
        <w:tc>
          <w:tcPr>
            <w:tcW w:w="323" w:type="pct"/>
            <w:vAlign w:val="center"/>
          </w:tcPr>
          <w:p w14:paraId="2060AA5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6" w:type="pct"/>
            <w:vAlign w:val="center"/>
          </w:tcPr>
          <w:p w14:paraId="3772837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1.151694</w:t>
            </w:r>
          </w:p>
        </w:tc>
        <w:tc>
          <w:tcPr>
            <w:tcW w:w="323" w:type="pct"/>
            <w:vAlign w:val="center"/>
          </w:tcPr>
          <w:p w14:paraId="3F2A8C9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0.007124</w:t>
            </w:r>
          </w:p>
        </w:tc>
        <w:tc>
          <w:tcPr>
            <w:tcW w:w="323" w:type="pct"/>
            <w:vAlign w:val="center"/>
          </w:tcPr>
          <w:p w14:paraId="5E5FD88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15.28477</w:t>
            </w:r>
          </w:p>
        </w:tc>
        <w:tc>
          <w:tcPr>
            <w:tcW w:w="323" w:type="pct"/>
            <w:vAlign w:val="center"/>
          </w:tcPr>
          <w:p w14:paraId="1E02162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7" w:type="pct"/>
            <w:vAlign w:val="center"/>
          </w:tcPr>
          <w:p w14:paraId="511778C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1.156024</w:t>
            </w:r>
          </w:p>
        </w:tc>
        <w:tc>
          <w:tcPr>
            <w:tcW w:w="315" w:type="pct"/>
            <w:vAlign w:val="center"/>
          </w:tcPr>
          <w:p w14:paraId="0C80679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0.007038</w:t>
            </w:r>
          </w:p>
        </w:tc>
        <w:tc>
          <w:tcPr>
            <w:tcW w:w="331" w:type="pct"/>
            <w:vAlign w:val="center"/>
          </w:tcPr>
          <w:p w14:paraId="3513FAA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15.16325</w:t>
            </w:r>
          </w:p>
        </w:tc>
        <w:tc>
          <w:tcPr>
            <w:tcW w:w="313" w:type="pct"/>
            <w:vAlign w:val="center"/>
          </w:tcPr>
          <w:p w14:paraId="5A82D15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22" w:type="pct"/>
            <w:vAlign w:val="center"/>
          </w:tcPr>
          <w:p w14:paraId="67A61B8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1.154686</w:t>
            </w:r>
          </w:p>
        </w:tc>
      </w:tr>
      <w:tr w:rsidR="00146D68" w:rsidRPr="00C862C2" w14:paraId="7D76E70D" w14:textId="77777777" w:rsidTr="00C862C2">
        <w:trPr>
          <w:trHeight w:val="70"/>
          <w:jc w:val="center"/>
        </w:trPr>
        <w:tc>
          <w:tcPr>
            <w:tcW w:w="428" w:type="pct"/>
            <w:vAlign w:val="center"/>
          </w:tcPr>
          <w:p w14:paraId="0091D6D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LEV</w:t>
            </w:r>
          </w:p>
        </w:tc>
        <w:tc>
          <w:tcPr>
            <w:tcW w:w="571" w:type="pct"/>
            <w:vAlign w:val="center"/>
          </w:tcPr>
          <w:p w14:paraId="75EB48F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-0.123987</w:t>
            </w:r>
          </w:p>
        </w:tc>
        <w:tc>
          <w:tcPr>
            <w:tcW w:w="493" w:type="pct"/>
            <w:vAlign w:val="center"/>
          </w:tcPr>
          <w:p w14:paraId="5E5C518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-28.72087</w:t>
            </w:r>
          </w:p>
        </w:tc>
        <w:tc>
          <w:tcPr>
            <w:tcW w:w="323" w:type="pct"/>
            <w:vAlign w:val="center"/>
          </w:tcPr>
          <w:p w14:paraId="16AF926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6" w:type="pct"/>
            <w:vAlign w:val="center"/>
          </w:tcPr>
          <w:p w14:paraId="6890AA1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1.601018</w:t>
            </w:r>
          </w:p>
        </w:tc>
        <w:tc>
          <w:tcPr>
            <w:tcW w:w="323" w:type="pct"/>
            <w:vAlign w:val="center"/>
          </w:tcPr>
          <w:p w14:paraId="10DA66C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-0.124615</w:t>
            </w:r>
          </w:p>
        </w:tc>
        <w:tc>
          <w:tcPr>
            <w:tcW w:w="323" w:type="pct"/>
            <w:vAlign w:val="center"/>
          </w:tcPr>
          <w:p w14:paraId="25A50CF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-28.90258</w:t>
            </w:r>
          </w:p>
        </w:tc>
        <w:tc>
          <w:tcPr>
            <w:tcW w:w="323" w:type="pct"/>
            <w:vAlign w:val="center"/>
          </w:tcPr>
          <w:p w14:paraId="47EF86E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7" w:type="pct"/>
            <w:vAlign w:val="center"/>
          </w:tcPr>
          <w:p w14:paraId="4B16E23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1.598487</w:t>
            </w:r>
          </w:p>
        </w:tc>
        <w:tc>
          <w:tcPr>
            <w:tcW w:w="315" w:type="pct"/>
            <w:vAlign w:val="center"/>
          </w:tcPr>
          <w:p w14:paraId="47F269A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-0.123083</w:t>
            </w:r>
          </w:p>
        </w:tc>
        <w:tc>
          <w:tcPr>
            <w:tcW w:w="331" w:type="pct"/>
            <w:vAlign w:val="center"/>
          </w:tcPr>
          <w:p w14:paraId="39CCBCB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-28.62708</w:t>
            </w:r>
          </w:p>
        </w:tc>
        <w:tc>
          <w:tcPr>
            <w:tcW w:w="313" w:type="pct"/>
            <w:vAlign w:val="center"/>
          </w:tcPr>
          <w:p w14:paraId="7E7041B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22" w:type="pct"/>
            <w:vAlign w:val="center"/>
          </w:tcPr>
          <w:p w14:paraId="3395309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1.600999</w:t>
            </w:r>
          </w:p>
        </w:tc>
      </w:tr>
      <w:tr w:rsidR="00146D68" w:rsidRPr="00C862C2" w14:paraId="2BAD483E" w14:textId="77777777" w:rsidTr="00C862C2">
        <w:trPr>
          <w:trHeight w:val="147"/>
          <w:jc w:val="center"/>
        </w:trPr>
        <w:tc>
          <w:tcPr>
            <w:tcW w:w="428" w:type="pct"/>
            <w:vAlign w:val="center"/>
          </w:tcPr>
          <w:p w14:paraId="558ACCC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ROA</w:t>
            </w:r>
          </w:p>
        </w:tc>
        <w:tc>
          <w:tcPr>
            <w:tcW w:w="571" w:type="pct"/>
            <w:vAlign w:val="center"/>
          </w:tcPr>
          <w:p w14:paraId="48DE5C8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-0.322781</w:t>
            </w:r>
          </w:p>
        </w:tc>
        <w:tc>
          <w:tcPr>
            <w:tcW w:w="493" w:type="pct"/>
            <w:vAlign w:val="center"/>
          </w:tcPr>
          <w:p w14:paraId="1590CBB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-49.26511</w:t>
            </w:r>
          </w:p>
        </w:tc>
        <w:tc>
          <w:tcPr>
            <w:tcW w:w="323" w:type="pct"/>
            <w:vAlign w:val="center"/>
          </w:tcPr>
          <w:p w14:paraId="6EE4CE9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6" w:type="pct"/>
            <w:vAlign w:val="center"/>
          </w:tcPr>
          <w:p w14:paraId="5AD5D117"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2.153072</w:t>
            </w:r>
          </w:p>
        </w:tc>
        <w:tc>
          <w:tcPr>
            <w:tcW w:w="323" w:type="pct"/>
            <w:vAlign w:val="center"/>
          </w:tcPr>
          <w:p w14:paraId="57C34A9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-0.325472</w:t>
            </w:r>
          </w:p>
        </w:tc>
        <w:tc>
          <w:tcPr>
            <w:tcW w:w="323" w:type="pct"/>
            <w:vAlign w:val="center"/>
          </w:tcPr>
          <w:p w14:paraId="7A10E6D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-49.74781</w:t>
            </w:r>
          </w:p>
        </w:tc>
        <w:tc>
          <w:tcPr>
            <w:tcW w:w="323" w:type="pct"/>
            <w:vAlign w:val="center"/>
          </w:tcPr>
          <w:p w14:paraId="757455C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7" w:type="pct"/>
            <w:vAlign w:val="center"/>
          </w:tcPr>
          <w:p w14:paraId="0B0B18B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2.148856</w:t>
            </w:r>
          </w:p>
        </w:tc>
        <w:tc>
          <w:tcPr>
            <w:tcW w:w="315" w:type="pct"/>
            <w:vAlign w:val="center"/>
          </w:tcPr>
          <w:p w14:paraId="43BF2C1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-0.324132</w:t>
            </w:r>
          </w:p>
        </w:tc>
        <w:tc>
          <w:tcPr>
            <w:tcW w:w="331" w:type="pct"/>
            <w:vAlign w:val="center"/>
          </w:tcPr>
          <w:p w14:paraId="180A8C5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-49.73014</w:t>
            </w:r>
          </w:p>
        </w:tc>
        <w:tc>
          <w:tcPr>
            <w:tcW w:w="313" w:type="pct"/>
            <w:vAlign w:val="center"/>
          </w:tcPr>
          <w:p w14:paraId="67B71C0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22" w:type="pct"/>
            <w:vAlign w:val="center"/>
          </w:tcPr>
          <w:p w14:paraId="76BC2A3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2.148013</w:t>
            </w:r>
          </w:p>
        </w:tc>
      </w:tr>
      <w:tr w:rsidR="00146D68" w:rsidRPr="00C862C2" w14:paraId="25B45F13" w14:textId="77777777" w:rsidTr="00C862C2">
        <w:trPr>
          <w:trHeight w:val="102"/>
          <w:jc w:val="center"/>
        </w:trPr>
        <w:tc>
          <w:tcPr>
            <w:tcW w:w="428" w:type="pct"/>
            <w:vAlign w:val="center"/>
          </w:tcPr>
          <w:p w14:paraId="31B9438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OCF</w:t>
            </w:r>
          </w:p>
        </w:tc>
        <w:tc>
          <w:tcPr>
            <w:tcW w:w="571" w:type="pct"/>
            <w:vAlign w:val="center"/>
          </w:tcPr>
          <w:p w14:paraId="2B602CB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0.043546</w:t>
            </w:r>
          </w:p>
        </w:tc>
        <w:tc>
          <w:tcPr>
            <w:tcW w:w="493" w:type="pct"/>
            <w:vAlign w:val="center"/>
          </w:tcPr>
          <w:p w14:paraId="23A05BC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8.559082</w:t>
            </w:r>
          </w:p>
        </w:tc>
        <w:tc>
          <w:tcPr>
            <w:tcW w:w="323" w:type="pct"/>
            <w:vAlign w:val="center"/>
          </w:tcPr>
          <w:p w14:paraId="59EE697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6" w:type="pct"/>
            <w:vAlign w:val="center"/>
          </w:tcPr>
          <w:p w14:paraId="2A51CC1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1.269325</w:t>
            </w:r>
          </w:p>
        </w:tc>
        <w:tc>
          <w:tcPr>
            <w:tcW w:w="323" w:type="pct"/>
            <w:vAlign w:val="center"/>
          </w:tcPr>
          <w:p w14:paraId="1F0F1C2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0.045234</w:t>
            </w:r>
          </w:p>
        </w:tc>
        <w:tc>
          <w:tcPr>
            <w:tcW w:w="323" w:type="pct"/>
            <w:vAlign w:val="center"/>
          </w:tcPr>
          <w:p w14:paraId="21B77B1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8.887475</w:t>
            </w:r>
          </w:p>
        </w:tc>
        <w:tc>
          <w:tcPr>
            <w:tcW w:w="323" w:type="pct"/>
            <w:vAlign w:val="center"/>
          </w:tcPr>
          <w:p w14:paraId="16FA6F1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7" w:type="pct"/>
            <w:vAlign w:val="center"/>
          </w:tcPr>
          <w:p w14:paraId="208556C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1.271495</w:t>
            </w:r>
          </w:p>
        </w:tc>
        <w:tc>
          <w:tcPr>
            <w:tcW w:w="315" w:type="pct"/>
            <w:vAlign w:val="center"/>
          </w:tcPr>
          <w:p w14:paraId="365E95F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0.046074</w:t>
            </w:r>
          </w:p>
        </w:tc>
        <w:tc>
          <w:tcPr>
            <w:tcW w:w="331" w:type="pct"/>
            <w:vAlign w:val="center"/>
          </w:tcPr>
          <w:p w14:paraId="65ACDD4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9.085342</w:t>
            </w:r>
          </w:p>
        </w:tc>
        <w:tc>
          <w:tcPr>
            <w:tcW w:w="313" w:type="pct"/>
            <w:vAlign w:val="center"/>
          </w:tcPr>
          <w:p w14:paraId="33B0F85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22" w:type="pct"/>
            <w:vAlign w:val="center"/>
          </w:tcPr>
          <w:p w14:paraId="27348A8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1.271356</w:t>
            </w:r>
          </w:p>
        </w:tc>
      </w:tr>
      <w:tr w:rsidR="00146D68" w:rsidRPr="00C862C2" w14:paraId="7F67A555" w14:textId="77777777" w:rsidTr="00C862C2">
        <w:trPr>
          <w:trHeight w:val="70"/>
          <w:jc w:val="center"/>
        </w:trPr>
        <w:tc>
          <w:tcPr>
            <w:tcW w:w="428" w:type="pct"/>
            <w:vAlign w:val="center"/>
          </w:tcPr>
          <w:p w14:paraId="13B02E8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SG</w:t>
            </w:r>
          </w:p>
        </w:tc>
        <w:tc>
          <w:tcPr>
            <w:tcW w:w="571" w:type="pct"/>
            <w:vAlign w:val="center"/>
          </w:tcPr>
          <w:p w14:paraId="68F6981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0.013439</w:t>
            </w:r>
          </w:p>
        </w:tc>
        <w:tc>
          <w:tcPr>
            <w:tcW w:w="493" w:type="pct"/>
            <w:vAlign w:val="center"/>
          </w:tcPr>
          <w:p w14:paraId="57364F8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10.65743</w:t>
            </w:r>
          </w:p>
        </w:tc>
        <w:tc>
          <w:tcPr>
            <w:tcW w:w="323" w:type="pct"/>
            <w:vAlign w:val="center"/>
          </w:tcPr>
          <w:p w14:paraId="5996A4D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6" w:type="pct"/>
            <w:vAlign w:val="center"/>
          </w:tcPr>
          <w:p w14:paraId="033EDD6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1.127227</w:t>
            </w:r>
          </w:p>
        </w:tc>
        <w:tc>
          <w:tcPr>
            <w:tcW w:w="323" w:type="pct"/>
            <w:vAlign w:val="center"/>
          </w:tcPr>
          <w:p w14:paraId="1DC026E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0.013522</w:t>
            </w:r>
          </w:p>
        </w:tc>
        <w:tc>
          <w:tcPr>
            <w:tcW w:w="323" w:type="pct"/>
            <w:vAlign w:val="center"/>
          </w:tcPr>
          <w:p w14:paraId="6FA098F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10.73949</w:t>
            </w:r>
          </w:p>
        </w:tc>
        <w:tc>
          <w:tcPr>
            <w:tcW w:w="323" w:type="pct"/>
            <w:vAlign w:val="center"/>
          </w:tcPr>
          <w:p w14:paraId="7F19766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7" w:type="pct"/>
            <w:vAlign w:val="center"/>
          </w:tcPr>
          <w:p w14:paraId="0EDF2CB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1.124868</w:t>
            </w:r>
          </w:p>
        </w:tc>
        <w:tc>
          <w:tcPr>
            <w:tcW w:w="315" w:type="pct"/>
            <w:vAlign w:val="center"/>
          </w:tcPr>
          <w:p w14:paraId="22C2913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0.012648</w:t>
            </w:r>
          </w:p>
        </w:tc>
        <w:tc>
          <w:tcPr>
            <w:tcW w:w="331" w:type="pct"/>
            <w:vAlign w:val="center"/>
          </w:tcPr>
          <w:p w14:paraId="1D48C73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10.04789</w:t>
            </w:r>
          </w:p>
        </w:tc>
        <w:tc>
          <w:tcPr>
            <w:tcW w:w="313" w:type="pct"/>
            <w:vAlign w:val="center"/>
          </w:tcPr>
          <w:p w14:paraId="0C0E53B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22" w:type="pct"/>
            <w:vAlign w:val="center"/>
          </w:tcPr>
          <w:p w14:paraId="1CAEF7D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1.132288</w:t>
            </w:r>
          </w:p>
        </w:tc>
      </w:tr>
      <w:tr w:rsidR="00146D68" w:rsidRPr="00C862C2" w14:paraId="2A647C8F" w14:textId="77777777" w:rsidTr="00C862C2">
        <w:trPr>
          <w:trHeight w:val="70"/>
          <w:jc w:val="center"/>
        </w:trPr>
        <w:tc>
          <w:tcPr>
            <w:tcW w:w="428" w:type="pct"/>
            <w:vAlign w:val="center"/>
          </w:tcPr>
          <w:p w14:paraId="463EBC1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BIG</w:t>
            </w:r>
          </w:p>
        </w:tc>
        <w:tc>
          <w:tcPr>
            <w:tcW w:w="571" w:type="pct"/>
            <w:vAlign w:val="center"/>
          </w:tcPr>
          <w:p w14:paraId="6FC2B54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-0.010447</w:t>
            </w:r>
          </w:p>
        </w:tc>
        <w:tc>
          <w:tcPr>
            <w:tcW w:w="493" w:type="pct"/>
            <w:vAlign w:val="center"/>
          </w:tcPr>
          <w:p w14:paraId="1BB0D5A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-6.564309</w:t>
            </w:r>
          </w:p>
        </w:tc>
        <w:tc>
          <w:tcPr>
            <w:tcW w:w="323" w:type="pct"/>
            <w:vAlign w:val="center"/>
          </w:tcPr>
          <w:p w14:paraId="6A0173D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6" w:type="pct"/>
            <w:vAlign w:val="center"/>
          </w:tcPr>
          <w:p w14:paraId="54C692F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1.068940</w:t>
            </w:r>
          </w:p>
        </w:tc>
        <w:tc>
          <w:tcPr>
            <w:tcW w:w="323" w:type="pct"/>
            <w:vAlign w:val="center"/>
          </w:tcPr>
          <w:p w14:paraId="6101EC7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-0.009641</w:t>
            </w:r>
          </w:p>
        </w:tc>
        <w:tc>
          <w:tcPr>
            <w:tcW w:w="323" w:type="pct"/>
            <w:vAlign w:val="center"/>
          </w:tcPr>
          <w:p w14:paraId="21D99B67"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-6.057072</w:t>
            </w:r>
          </w:p>
        </w:tc>
        <w:tc>
          <w:tcPr>
            <w:tcW w:w="323" w:type="pct"/>
            <w:vAlign w:val="center"/>
          </w:tcPr>
          <w:p w14:paraId="342B6FC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17" w:type="pct"/>
            <w:vAlign w:val="center"/>
          </w:tcPr>
          <w:p w14:paraId="016CB37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1.070228</w:t>
            </w:r>
          </w:p>
        </w:tc>
        <w:tc>
          <w:tcPr>
            <w:tcW w:w="315" w:type="pct"/>
            <w:vAlign w:val="center"/>
          </w:tcPr>
          <w:p w14:paraId="422E75B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-0.009573</w:t>
            </w:r>
          </w:p>
        </w:tc>
        <w:tc>
          <w:tcPr>
            <w:tcW w:w="331" w:type="pct"/>
            <w:vAlign w:val="center"/>
          </w:tcPr>
          <w:p w14:paraId="0B67976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-6.039684</w:t>
            </w:r>
          </w:p>
        </w:tc>
        <w:tc>
          <w:tcPr>
            <w:tcW w:w="313" w:type="pct"/>
            <w:vAlign w:val="center"/>
          </w:tcPr>
          <w:p w14:paraId="2027EAC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422" w:type="pct"/>
            <w:vAlign w:val="center"/>
          </w:tcPr>
          <w:p w14:paraId="36670CD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1.068891</w:t>
            </w:r>
          </w:p>
        </w:tc>
      </w:tr>
      <w:tr w:rsidR="00146D68" w:rsidRPr="00C862C2" w14:paraId="2F746CCD" w14:textId="77777777" w:rsidTr="00C862C2">
        <w:trPr>
          <w:trHeight w:val="70"/>
          <w:jc w:val="center"/>
        </w:trPr>
        <w:tc>
          <w:tcPr>
            <w:tcW w:w="428" w:type="pct"/>
            <w:vAlign w:val="center"/>
          </w:tcPr>
          <w:p w14:paraId="6C0B355D"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Adjusted R-squared</w:t>
            </w:r>
          </w:p>
        </w:tc>
        <w:tc>
          <w:tcPr>
            <w:tcW w:w="1804" w:type="pct"/>
            <w:gridSpan w:val="4"/>
            <w:vAlign w:val="center"/>
          </w:tcPr>
          <w:p w14:paraId="050B329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0.463979</w:t>
            </w:r>
          </w:p>
        </w:tc>
        <w:tc>
          <w:tcPr>
            <w:tcW w:w="1386" w:type="pct"/>
            <w:gridSpan w:val="4"/>
            <w:tcBorders>
              <w:right w:val="single" w:sz="4" w:space="0" w:color="auto"/>
            </w:tcBorders>
            <w:vAlign w:val="center"/>
          </w:tcPr>
          <w:p w14:paraId="199F88D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0.465306</w:t>
            </w:r>
          </w:p>
        </w:tc>
        <w:tc>
          <w:tcPr>
            <w:tcW w:w="1381" w:type="pct"/>
            <w:gridSpan w:val="4"/>
            <w:tcBorders>
              <w:right w:val="single" w:sz="4" w:space="0" w:color="auto"/>
            </w:tcBorders>
            <w:vAlign w:val="center"/>
          </w:tcPr>
          <w:p w14:paraId="18527C3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0.479503</w:t>
            </w:r>
          </w:p>
        </w:tc>
      </w:tr>
      <w:tr w:rsidR="00146D68" w:rsidRPr="00C862C2" w14:paraId="35FDE54B" w14:textId="77777777" w:rsidTr="00C862C2">
        <w:trPr>
          <w:trHeight w:val="70"/>
          <w:jc w:val="center"/>
        </w:trPr>
        <w:tc>
          <w:tcPr>
            <w:tcW w:w="428" w:type="pct"/>
            <w:vAlign w:val="center"/>
          </w:tcPr>
          <w:p w14:paraId="207EC30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F-statistic</w:t>
            </w:r>
          </w:p>
        </w:tc>
        <w:tc>
          <w:tcPr>
            <w:tcW w:w="1804" w:type="pct"/>
            <w:gridSpan w:val="4"/>
            <w:vAlign w:val="center"/>
          </w:tcPr>
          <w:p w14:paraId="3A0B984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4.191368</w:t>
            </w:r>
          </w:p>
        </w:tc>
        <w:tc>
          <w:tcPr>
            <w:tcW w:w="1386" w:type="pct"/>
            <w:gridSpan w:val="4"/>
            <w:tcBorders>
              <w:right w:val="single" w:sz="4" w:space="0" w:color="auto"/>
            </w:tcBorders>
            <w:vAlign w:val="center"/>
          </w:tcPr>
          <w:p w14:paraId="69DD243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4.211801</w:t>
            </w:r>
          </w:p>
        </w:tc>
        <w:tc>
          <w:tcPr>
            <w:tcW w:w="1381" w:type="pct"/>
            <w:gridSpan w:val="4"/>
            <w:tcBorders>
              <w:right w:val="single" w:sz="4" w:space="0" w:color="auto"/>
            </w:tcBorders>
            <w:vAlign w:val="center"/>
          </w:tcPr>
          <w:p w14:paraId="63C2748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4.276965</w:t>
            </w:r>
          </w:p>
        </w:tc>
      </w:tr>
      <w:tr w:rsidR="00146D68" w:rsidRPr="00C862C2" w14:paraId="1952F5F4" w14:textId="77777777" w:rsidTr="00C862C2">
        <w:trPr>
          <w:trHeight w:val="70"/>
          <w:jc w:val="center"/>
        </w:trPr>
        <w:tc>
          <w:tcPr>
            <w:tcW w:w="428" w:type="pct"/>
            <w:vAlign w:val="center"/>
          </w:tcPr>
          <w:p w14:paraId="68523E31"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Significance</w:t>
            </w:r>
          </w:p>
        </w:tc>
        <w:tc>
          <w:tcPr>
            <w:tcW w:w="1804" w:type="pct"/>
            <w:gridSpan w:val="4"/>
            <w:vAlign w:val="center"/>
          </w:tcPr>
          <w:p w14:paraId="3628D6B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0.000000</w:t>
            </w:r>
          </w:p>
        </w:tc>
        <w:tc>
          <w:tcPr>
            <w:tcW w:w="1386" w:type="pct"/>
            <w:gridSpan w:val="4"/>
            <w:tcBorders>
              <w:right w:val="single" w:sz="4" w:space="0" w:color="auto"/>
            </w:tcBorders>
            <w:vAlign w:val="center"/>
          </w:tcPr>
          <w:p w14:paraId="57C2CA9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0.000000</w:t>
            </w:r>
          </w:p>
        </w:tc>
        <w:tc>
          <w:tcPr>
            <w:tcW w:w="1381" w:type="pct"/>
            <w:gridSpan w:val="4"/>
            <w:tcBorders>
              <w:right w:val="single" w:sz="4" w:space="0" w:color="auto"/>
            </w:tcBorders>
            <w:vAlign w:val="center"/>
          </w:tcPr>
          <w:p w14:paraId="66E2794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0.000000</w:t>
            </w:r>
          </w:p>
        </w:tc>
      </w:tr>
      <w:tr w:rsidR="00146D68" w:rsidRPr="00C862C2" w14:paraId="0B3528AB" w14:textId="77777777" w:rsidTr="00C862C2">
        <w:trPr>
          <w:trHeight w:val="84"/>
          <w:jc w:val="center"/>
        </w:trPr>
        <w:tc>
          <w:tcPr>
            <w:tcW w:w="428" w:type="pct"/>
            <w:vAlign w:val="center"/>
          </w:tcPr>
          <w:p w14:paraId="1EB259B9"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Durbin-Watson</w:t>
            </w:r>
          </w:p>
        </w:tc>
        <w:tc>
          <w:tcPr>
            <w:tcW w:w="1804" w:type="pct"/>
            <w:gridSpan w:val="4"/>
            <w:vAlign w:val="center"/>
          </w:tcPr>
          <w:p w14:paraId="3B28DE0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1.956199</w:t>
            </w:r>
          </w:p>
        </w:tc>
        <w:tc>
          <w:tcPr>
            <w:tcW w:w="1386" w:type="pct"/>
            <w:gridSpan w:val="4"/>
            <w:tcBorders>
              <w:right w:val="single" w:sz="4" w:space="0" w:color="auto"/>
            </w:tcBorders>
            <w:vAlign w:val="center"/>
          </w:tcPr>
          <w:p w14:paraId="29D9B75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1.957874</w:t>
            </w:r>
          </w:p>
        </w:tc>
        <w:tc>
          <w:tcPr>
            <w:tcW w:w="1381" w:type="pct"/>
            <w:gridSpan w:val="4"/>
            <w:tcBorders>
              <w:right w:val="single" w:sz="4" w:space="0" w:color="auto"/>
            </w:tcBorders>
            <w:vAlign w:val="center"/>
          </w:tcPr>
          <w:p w14:paraId="205C2CF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1.964894</w:t>
            </w:r>
          </w:p>
        </w:tc>
      </w:tr>
      <w:tr w:rsidR="00146D68" w:rsidRPr="00C862C2" w14:paraId="061A8B11" w14:textId="77777777" w:rsidTr="00C862C2">
        <w:trPr>
          <w:trHeight w:val="129"/>
          <w:jc w:val="center"/>
        </w:trPr>
        <w:tc>
          <w:tcPr>
            <w:tcW w:w="428" w:type="pct"/>
            <w:vAlign w:val="center"/>
          </w:tcPr>
          <w:p w14:paraId="1165D90D"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Breusch-Pagan Test</w:t>
            </w:r>
          </w:p>
        </w:tc>
        <w:tc>
          <w:tcPr>
            <w:tcW w:w="1804" w:type="pct"/>
            <w:gridSpan w:val="4"/>
            <w:vAlign w:val="center"/>
          </w:tcPr>
          <w:p w14:paraId="0B4492A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9.220795</w:t>
            </w:r>
          </w:p>
        </w:tc>
        <w:tc>
          <w:tcPr>
            <w:tcW w:w="1386" w:type="pct"/>
            <w:gridSpan w:val="4"/>
            <w:tcBorders>
              <w:right w:val="single" w:sz="4" w:space="0" w:color="auto"/>
            </w:tcBorders>
            <w:vAlign w:val="center"/>
          </w:tcPr>
          <w:p w14:paraId="60BADCB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10.80614</w:t>
            </w:r>
          </w:p>
        </w:tc>
        <w:tc>
          <w:tcPr>
            <w:tcW w:w="1381" w:type="pct"/>
            <w:gridSpan w:val="4"/>
            <w:tcBorders>
              <w:right w:val="single" w:sz="4" w:space="0" w:color="auto"/>
            </w:tcBorders>
            <w:vAlign w:val="center"/>
          </w:tcPr>
          <w:p w14:paraId="7BB266B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5.820369</w:t>
            </w:r>
          </w:p>
        </w:tc>
      </w:tr>
      <w:tr w:rsidR="00146D68" w:rsidRPr="00C862C2" w14:paraId="1E0015BD" w14:textId="77777777" w:rsidTr="00C862C2">
        <w:trPr>
          <w:trHeight w:val="70"/>
          <w:jc w:val="center"/>
        </w:trPr>
        <w:tc>
          <w:tcPr>
            <w:tcW w:w="428" w:type="pct"/>
            <w:vAlign w:val="center"/>
          </w:tcPr>
          <w:p w14:paraId="4355BAE8"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Significance Level</w:t>
            </w:r>
          </w:p>
        </w:tc>
        <w:tc>
          <w:tcPr>
            <w:tcW w:w="1804" w:type="pct"/>
            <w:gridSpan w:val="4"/>
            <w:vAlign w:val="center"/>
          </w:tcPr>
          <w:p w14:paraId="4AF024C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0.2372</w:t>
            </w:r>
          </w:p>
        </w:tc>
        <w:tc>
          <w:tcPr>
            <w:tcW w:w="1386" w:type="pct"/>
            <w:gridSpan w:val="4"/>
            <w:tcBorders>
              <w:right w:val="single" w:sz="4" w:space="0" w:color="auto"/>
            </w:tcBorders>
            <w:vAlign w:val="center"/>
          </w:tcPr>
          <w:p w14:paraId="79C0DA7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0.1473</w:t>
            </w:r>
          </w:p>
        </w:tc>
        <w:tc>
          <w:tcPr>
            <w:tcW w:w="1381" w:type="pct"/>
            <w:gridSpan w:val="4"/>
            <w:tcBorders>
              <w:right w:val="single" w:sz="4" w:space="0" w:color="auto"/>
            </w:tcBorders>
            <w:vAlign w:val="center"/>
          </w:tcPr>
          <w:p w14:paraId="7689C2B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0.5609</w:t>
            </w:r>
          </w:p>
        </w:tc>
      </w:tr>
      <w:bookmarkEnd w:id="2"/>
    </w:tbl>
    <w:p w14:paraId="5FB9BEAB" w14:textId="77777777" w:rsidR="00146D68" w:rsidRPr="00C862C2" w:rsidRDefault="00146D68" w:rsidP="00C862C2">
      <w:pPr>
        <w:spacing w:after="0" w:line="240" w:lineRule="auto"/>
        <w:jc w:val="both"/>
        <w:rPr>
          <w:rFonts w:ascii="Times New Roman" w:eastAsia="Times New Roman" w:hAnsi="Times New Roman" w:cs="Times New Roman"/>
        </w:rPr>
      </w:pPr>
    </w:p>
    <w:p w14:paraId="45CA6381" w14:textId="46DE784B" w:rsidR="00E46824" w:rsidRPr="00C862C2" w:rsidRDefault="00E46824"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 xml:space="preserve">The results indicate that the coefficients of the life cycle </w:t>
      </w:r>
      <w:proofErr w:type="gramStart"/>
      <w:r w:rsidRPr="00C862C2">
        <w:rPr>
          <w:rFonts w:ascii="Times New Roman" w:eastAsia="Times New Roman" w:hAnsi="Times New Roman" w:cs="Times New Roman"/>
        </w:rPr>
        <w:t>stages</w:t>
      </w:r>
      <w:proofErr w:type="gramEnd"/>
      <w:r w:rsidRPr="00C862C2">
        <w:rPr>
          <w:rFonts w:ascii="Times New Roman" w:eastAsia="Times New Roman" w:hAnsi="Times New Roman" w:cs="Times New Roman"/>
        </w:rPr>
        <w:t xml:space="preserve"> (growth, maturity, and decline) are statistically significant at the 5% level across all models, confirming a significant relationship between firm life cycle stages and accounting conservatism. The coefficient for the maturity stage is positive, suggesting higher conservatism, while the growth and decline stages show negative coefficients, indicating lower conservatism. These findings support Hypothesis 1. The strongest effect is observed in the decline stage, followed by the growth and maturity stages, although the differences are relatively small.</w:t>
      </w:r>
    </w:p>
    <w:p w14:paraId="005812C0" w14:textId="77777777" w:rsidR="00E46824" w:rsidRPr="00C862C2" w:rsidRDefault="00E46824"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Among control variables, firm size, operating cash flow, and sales growth are positively associated with accounting conservatism, whereas financial leverage, profitability, and auditor type show negative relationships.</w:t>
      </w:r>
    </w:p>
    <w:p w14:paraId="4DD3FCC8" w14:textId="77777777" w:rsidR="00E46824" w:rsidRPr="00C862C2" w:rsidRDefault="00E46824"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Firms at different life cycle stages adopt distinct reporting strategies. Growth-stage firms may use environmental disclosure as a signaling tool while engaging in less conservative reporting to attract capital. In contrast, mature firms, supported by stable cash flows and established reputations, tend to combine environmental disclosure with more conservative reporting practices.</w:t>
      </w:r>
    </w:p>
    <w:p w14:paraId="589564DD" w14:textId="77777777" w:rsidR="00E46824" w:rsidRPr="00C862C2" w:rsidRDefault="00E46824"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The negative relationship between profitability and accounting conservatism may reflect higher managerial confidence, leading to more aggressive reporting behavior. Similarly, the negative association between auditor type and conservatism can be attributed to the institutional characteristics of the Iranian market, including the prevalence of state-owned or semi-state-owned firms, differences in regulatory structures, and variations in managerial incentives. These contextual factors distinguish emerging markets from developed economies and help explain the observed results.</w:t>
      </w:r>
    </w:p>
    <w:p w14:paraId="764B6333" w14:textId="77777777" w:rsidR="008D1838" w:rsidRPr="00C862C2" w:rsidRDefault="008D1838" w:rsidP="00C862C2">
      <w:pPr>
        <w:spacing w:after="0" w:line="240" w:lineRule="auto"/>
        <w:jc w:val="both"/>
        <w:outlineLvl w:val="2"/>
        <w:rPr>
          <w:rFonts w:ascii="Times New Roman" w:eastAsia="Times New Roman" w:hAnsi="Times New Roman" w:cs="Times New Roman"/>
          <w:b/>
          <w:bCs/>
        </w:rPr>
      </w:pPr>
    </w:p>
    <w:p w14:paraId="46B6AAE9" w14:textId="77777777" w:rsidR="00146D68" w:rsidRDefault="001461C9" w:rsidP="00C862C2">
      <w:pPr>
        <w:spacing w:after="0" w:line="240" w:lineRule="auto"/>
        <w:jc w:val="both"/>
        <w:outlineLvl w:val="2"/>
        <w:rPr>
          <w:rFonts w:ascii="Times New Roman" w:eastAsia="Times New Roman" w:hAnsi="Times New Roman" w:cs="Times New Roman"/>
          <w:b/>
          <w:bCs/>
        </w:rPr>
      </w:pPr>
      <w:r w:rsidRPr="00C862C2">
        <w:rPr>
          <w:rFonts w:ascii="Times New Roman" w:eastAsia="Times New Roman" w:hAnsi="Times New Roman" w:cs="Times New Roman"/>
          <w:b/>
          <w:bCs/>
        </w:rPr>
        <w:t>5.2</w:t>
      </w:r>
      <w:r w:rsidR="008D1838" w:rsidRPr="00C862C2">
        <w:rPr>
          <w:rFonts w:ascii="Times New Roman" w:eastAsia="Times New Roman" w:hAnsi="Times New Roman" w:cs="Times New Roman"/>
          <w:b/>
          <w:bCs/>
        </w:rPr>
        <w:t>. Regression</w:t>
      </w:r>
      <w:r w:rsidRPr="00C862C2">
        <w:rPr>
          <w:rFonts w:ascii="Times New Roman" w:eastAsia="Times New Roman" w:hAnsi="Times New Roman" w:cs="Times New Roman"/>
          <w:b/>
          <w:bCs/>
        </w:rPr>
        <w:t xml:space="preserve"> Models for the Second Hypothesis</w:t>
      </w:r>
    </w:p>
    <w:p w14:paraId="7D76A4E9" w14:textId="77777777" w:rsidR="00C862C2" w:rsidRPr="00C862C2" w:rsidRDefault="00C862C2" w:rsidP="00C862C2">
      <w:pPr>
        <w:spacing w:after="0" w:line="240" w:lineRule="auto"/>
        <w:jc w:val="both"/>
        <w:outlineLvl w:val="2"/>
        <w:rPr>
          <w:rFonts w:ascii="Times New Roman" w:eastAsia="Times New Roman" w:hAnsi="Times New Roman" w:cs="Times New Roman"/>
          <w:b/>
          <w:bCs/>
        </w:rPr>
      </w:pPr>
    </w:p>
    <w:p w14:paraId="45299177" w14:textId="68C793D2" w:rsidR="001461C9" w:rsidRPr="00C862C2" w:rsidRDefault="001461C9" w:rsidP="00C862C2">
      <w:pPr>
        <w:spacing w:after="0" w:line="240" w:lineRule="auto"/>
        <w:jc w:val="both"/>
        <w:outlineLvl w:val="2"/>
        <w:rPr>
          <w:rFonts w:ascii="Times New Roman" w:eastAsia="Times New Roman" w:hAnsi="Times New Roman" w:cs="Times New Roman"/>
          <w:b/>
          <w:bCs/>
        </w:rPr>
      </w:pPr>
      <w:r w:rsidRPr="00C862C2">
        <w:rPr>
          <w:rFonts w:ascii="Times New Roman" w:eastAsia="Times New Roman" w:hAnsi="Times New Roman" w:cs="Times New Roman"/>
          <w:b/>
          <w:bCs/>
        </w:rPr>
        <w:t>5.2.1.</w:t>
      </w:r>
      <w:r w:rsidR="00146D68" w:rsidRPr="00C862C2">
        <w:rPr>
          <w:rFonts w:ascii="Times New Roman" w:eastAsia="Times New Roman" w:hAnsi="Times New Roman" w:cs="Times New Roman"/>
          <w:b/>
          <w:bCs/>
        </w:rPr>
        <w:t xml:space="preserve"> </w:t>
      </w:r>
      <w:r w:rsidRPr="00C862C2">
        <w:rPr>
          <w:rFonts w:ascii="Times New Roman" w:eastAsia="Times New Roman" w:hAnsi="Times New Roman" w:cs="Times New Roman"/>
          <w:b/>
          <w:bCs/>
        </w:rPr>
        <w:t xml:space="preserve">Model </w:t>
      </w:r>
      <w:r w:rsidR="001B23DD" w:rsidRPr="00C862C2">
        <w:rPr>
          <w:rFonts w:ascii="Times New Roman" w:eastAsia="Times New Roman" w:hAnsi="Times New Roman" w:cs="Times New Roman"/>
          <w:b/>
          <w:bCs/>
        </w:rPr>
        <w:t>d</w:t>
      </w:r>
      <w:r w:rsidRPr="00C862C2">
        <w:rPr>
          <w:rFonts w:ascii="Times New Roman" w:eastAsia="Times New Roman" w:hAnsi="Times New Roman" w:cs="Times New Roman"/>
          <w:b/>
          <w:bCs/>
        </w:rPr>
        <w:t xml:space="preserve">iagnostic </w:t>
      </w:r>
      <w:r w:rsidR="001B23DD" w:rsidRPr="00C862C2">
        <w:rPr>
          <w:rFonts w:ascii="Times New Roman" w:eastAsia="Times New Roman" w:hAnsi="Times New Roman" w:cs="Times New Roman"/>
          <w:b/>
          <w:bCs/>
        </w:rPr>
        <w:t>t</w:t>
      </w:r>
      <w:r w:rsidRPr="00C862C2">
        <w:rPr>
          <w:rFonts w:ascii="Times New Roman" w:eastAsia="Times New Roman" w:hAnsi="Times New Roman" w:cs="Times New Roman"/>
          <w:b/>
          <w:bCs/>
        </w:rPr>
        <w:t>ests</w:t>
      </w:r>
    </w:p>
    <w:p w14:paraId="66BE5879" w14:textId="77777777" w:rsidR="001461C9" w:rsidRPr="00C862C2" w:rsidRDefault="001461C9"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The results of the Chow and Hausman tests are presented in Table (7). Considering that the p-value of the Chow test is below 5%, it can be concluded that panel data estimation is appropriate. In addition, since the p-value of the Hausman test is also lower than 5%, the fixed effects model is selected. Accordingly, the model is specified as follows:</w:t>
      </w:r>
    </w:p>
    <w:p w14:paraId="5249974C" w14:textId="77777777" w:rsidR="00146D68" w:rsidRPr="00C862C2" w:rsidRDefault="00146D68" w:rsidP="00C862C2">
      <w:pPr>
        <w:pStyle w:val="Heading3"/>
        <w:spacing w:before="0" w:beforeAutospacing="0" w:after="0" w:afterAutospacing="0"/>
        <w:jc w:val="both"/>
        <w:rPr>
          <w:sz w:val="22"/>
          <w:szCs w:val="22"/>
        </w:rPr>
      </w:pPr>
    </w:p>
    <w:p w14:paraId="33749029" w14:textId="706BA41F" w:rsidR="00146D68" w:rsidRPr="00C862C2" w:rsidRDefault="00146D68" w:rsidP="00C862C2">
      <w:pPr>
        <w:spacing w:after="0" w:line="240" w:lineRule="auto"/>
        <w:jc w:val="both"/>
        <w:rPr>
          <w:rFonts w:ascii="Times New Roman" w:hAnsi="Times New Roman" w:cs="Times New Roman"/>
        </w:rPr>
      </w:pPr>
      <w:r w:rsidRPr="00C862C2">
        <w:rPr>
          <w:rFonts w:ascii="Times New Roman" w:hAnsi="Times New Roman" w:cs="Times New Roman"/>
          <w:b/>
          <w:bCs/>
        </w:rPr>
        <w:t>Table 7.</w:t>
      </w:r>
      <w:r w:rsidRPr="00C862C2">
        <w:rPr>
          <w:rFonts w:ascii="Times New Roman" w:hAnsi="Times New Roman" w:cs="Times New Roman"/>
        </w:rPr>
        <w:t xml:space="preserve"> Chow and Hausman Test Results</w:t>
      </w:r>
    </w:p>
    <w:tbl>
      <w:tblPr>
        <w:tblStyle w:val="TableGrid"/>
        <w:bidiVisual/>
        <w:tblW w:w="9352" w:type="dxa"/>
        <w:tblLook w:val="04A0" w:firstRow="1" w:lastRow="0" w:firstColumn="1" w:lastColumn="0" w:noHBand="0" w:noVBand="1"/>
      </w:tblPr>
      <w:tblGrid>
        <w:gridCol w:w="1492"/>
        <w:gridCol w:w="1445"/>
        <w:gridCol w:w="1356"/>
        <w:gridCol w:w="1592"/>
        <w:gridCol w:w="1736"/>
        <w:gridCol w:w="1731"/>
      </w:tblGrid>
      <w:tr w:rsidR="00146D68" w:rsidRPr="00C862C2" w14:paraId="6B9F29EE" w14:textId="77777777" w:rsidTr="00C862C2">
        <w:trPr>
          <w:trHeight w:val="577"/>
        </w:trPr>
        <w:tc>
          <w:tcPr>
            <w:tcW w:w="1492" w:type="dxa"/>
            <w:vAlign w:val="center"/>
          </w:tcPr>
          <w:p w14:paraId="19CB479E"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Result</w:t>
            </w:r>
          </w:p>
        </w:tc>
        <w:tc>
          <w:tcPr>
            <w:tcW w:w="1445" w:type="dxa"/>
            <w:vAlign w:val="center"/>
          </w:tcPr>
          <w:p w14:paraId="26874042"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Significance Level</w:t>
            </w:r>
          </w:p>
        </w:tc>
        <w:tc>
          <w:tcPr>
            <w:tcW w:w="1356" w:type="dxa"/>
            <w:vAlign w:val="center"/>
          </w:tcPr>
          <w:p w14:paraId="2DB8DEDF"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Degrees of Freedom</w:t>
            </w:r>
          </w:p>
        </w:tc>
        <w:tc>
          <w:tcPr>
            <w:tcW w:w="1592" w:type="dxa"/>
            <w:vAlign w:val="center"/>
          </w:tcPr>
          <w:p w14:paraId="284AE203"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Test Statistic</w:t>
            </w:r>
          </w:p>
        </w:tc>
        <w:tc>
          <w:tcPr>
            <w:tcW w:w="1736" w:type="dxa"/>
            <w:vAlign w:val="center"/>
          </w:tcPr>
          <w:p w14:paraId="5BCD4E20"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Test</w:t>
            </w:r>
          </w:p>
        </w:tc>
        <w:tc>
          <w:tcPr>
            <w:tcW w:w="1731" w:type="dxa"/>
            <w:vAlign w:val="center"/>
          </w:tcPr>
          <w:p w14:paraId="6E3B14F0"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Independent Variable</w:t>
            </w:r>
          </w:p>
        </w:tc>
      </w:tr>
      <w:tr w:rsidR="00146D68" w:rsidRPr="00C862C2" w14:paraId="749F48BD" w14:textId="77777777" w:rsidTr="00C862C2">
        <w:trPr>
          <w:trHeight w:val="593"/>
        </w:trPr>
        <w:tc>
          <w:tcPr>
            <w:tcW w:w="1492" w:type="dxa"/>
            <w:vAlign w:val="center"/>
          </w:tcPr>
          <w:p w14:paraId="54187B48"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Panel</w:t>
            </w:r>
          </w:p>
        </w:tc>
        <w:tc>
          <w:tcPr>
            <w:tcW w:w="1445" w:type="dxa"/>
            <w:vAlign w:val="center"/>
          </w:tcPr>
          <w:p w14:paraId="4A3E61AE"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0.0000</w:t>
            </w:r>
          </w:p>
        </w:tc>
        <w:tc>
          <w:tcPr>
            <w:tcW w:w="1356" w:type="dxa"/>
            <w:vAlign w:val="center"/>
          </w:tcPr>
          <w:p w14:paraId="563638F6"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(139,973)</w:t>
            </w:r>
          </w:p>
        </w:tc>
        <w:tc>
          <w:tcPr>
            <w:tcW w:w="1592" w:type="dxa"/>
            <w:vAlign w:val="center"/>
          </w:tcPr>
          <w:p w14:paraId="79340CA8"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3.004696</w:t>
            </w:r>
          </w:p>
        </w:tc>
        <w:tc>
          <w:tcPr>
            <w:tcW w:w="1736" w:type="dxa"/>
            <w:vAlign w:val="center"/>
          </w:tcPr>
          <w:p w14:paraId="5CD67A52"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Chow (LIML F)</w:t>
            </w:r>
          </w:p>
        </w:tc>
        <w:tc>
          <w:tcPr>
            <w:tcW w:w="1731" w:type="dxa"/>
            <w:vAlign w:val="center"/>
          </w:tcPr>
          <w:p w14:paraId="2B1F8E35" w14:textId="6C8419FE"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Growth Stage</w:t>
            </w:r>
          </w:p>
        </w:tc>
      </w:tr>
      <w:tr w:rsidR="00146D68" w:rsidRPr="00C862C2" w14:paraId="7B794745" w14:textId="77777777" w:rsidTr="00C862C2">
        <w:trPr>
          <w:trHeight w:val="577"/>
        </w:trPr>
        <w:tc>
          <w:tcPr>
            <w:tcW w:w="1492" w:type="dxa"/>
            <w:vAlign w:val="center"/>
          </w:tcPr>
          <w:p w14:paraId="1DB6716D"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Fixed Effects</w:t>
            </w:r>
          </w:p>
        </w:tc>
        <w:tc>
          <w:tcPr>
            <w:tcW w:w="1445" w:type="dxa"/>
            <w:vAlign w:val="center"/>
          </w:tcPr>
          <w:p w14:paraId="7B2A1253"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0.0493</w:t>
            </w:r>
          </w:p>
        </w:tc>
        <w:tc>
          <w:tcPr>
            <w:tcW w:w="1356" w:type="dxa"/>
            <w:vAlign w:val="center"/>
          </w:tcPr>
          <w:p w14:paraId="180DEF0B" w14:textId="22E6124C"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7</w:t>
            </w:r>
          </w:p>
        </w:tc>
        <w:tc>
          <w:tcPr>
            <w:tcW w:w="1592" w:type="dxa"/>
            <w:vAlign w:val="center"/>
          </w:tcPr>
          <w:p w14:paraId="69983A42"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14.106792</w:t>
            </w:r>
          </w:p>
        </w:tc>
        <w:tc>
          <w:tcPr>
            <w:tcW w:w="1736" w:type="dxa"/>
            <w:vAlign w:val="center"/>
          </w:tcPr>
          <w:p w14:paraId="0FFFD7D6" w14:textId="6F58AC2C"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Hausman</w:t>
            </w:r>
          </w:p>
        </w:tc>
        <w:tc>
          <w:tcPr>
            <w:tcW w:w="1731" w:type="dxa"/>
            <w:vAlign w:val="center"/>
          </w:tcPr>
          <w:p w14:paraId="6507E8C2" w14:textId="77777777" w:rsidR="00146D68" w:rsidRPr="00C862C2" w:rsidRDefault="00146D68" w:rsidP="00C862C2">
            <w:pPr>
              <w:jc w:val="center"/>
              <w:rPr>
                <w:rFonts w:ascii="Times New Roman" w:hAnsi="Times New Roman" w:cs="Times New Roman"/>
                <w:rtl/>
              </w:rPr>
            </w:pPr>
          </w:p>
        </w:tc>
      </w:tr>
      <w:tr w:rsidR="00146D68" w:rsidRPr="00C862C2" w14:paraId="010E56BF" w14:textId="77777777" w:rsidTr="00C862C2">
        <w:trPr>
          <w:trHeight w:val="593"/>
        </w:trPr>
        <w:tc>
          <w:tcPr>
            <w:tcW w:w="1492" w:type="dxa"/>
            <w:vAlign w:val="center"/>
          </w:tcPr>
          <w:p w14:paraId="76B01860"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Panel</w:t>
            </w:r>
          </w:p>
        </w:tc>
        <w:tc>
          <w:tcPr>
            <w:tcW w:w="1445" w:type="dxa"/>
            <w:vAlign w:val="center"/>
          </w:tcPr>
          <w:p w14:paraId="5CA413E2"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0.0000</w:t>
            </w:r>
          </w:p>
        </w:tc>
        <w:tc>
          <w:tcPr>
            <w:tcW w:w="1356" w:type="dxa"/>
            <w:vAlign w:val="center"/>
          </w:tcPr>
          <w:p w14:paraId="1D9BAC6E"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(139,973)</w:t>
            </w:r>
          </w:p>
        </w:tc>
        <w:tc>
          <w:tcPr>
            <w:tcW w:w="1592" w:type="dxa"/>
            <w:vAlign w:val="center"/>
          </w:tcPr>
          <w:p w14:paraId="7832BDF1"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3.019935</w:t>
            </w:r>
          </w:p>
        </w:tc>
        <w:tc>
          <w:tcPr>
            <w:tcW w:w="1736" w:type="dxa"/>
            <w:vAlign w:val="center"/>
          </w:tcPr>
          <w:p w14:paraId="4DADB96A"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Chow (LIML F)</w:t>
            </w:r>
          </w:p>
        </w:tc>
        <w:tc>
          <w:tcPr>
            <w:tcW w:w="1731" w:type="dxa"/>
            <w:vAlign w:val="center"/>
          </w:tcPr>
          <w:p w14:paraId="1CAF02E2" w14:textId="37D20786"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Maturity Stage</w:t>
            </w:r>
          </w:p>
        </w:tc>
      </w:tr>
      <w:tr w:rsidR="00146D68" w:rsidRPr="00C862C2" w14:paraId="0101452B" w14:textId="77777777" w:rsidTr="00C862C2">
        <w:trPr>
          <w:trHeight w:val="577"/>
        </w:trPr>
        <w:tc>
          <w:tcPr>
            <w:tcW w:w="1492" w:type="dxa"/>
            <w:vAlign w:val="center"/>
          </w:tcPr>
          <w:p w14:paraId="1E228B2C"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Fixed Effects</w:t>
            </w:r>
          </w:p>
        </w:tc>
        <w:tc>
          <w:tcPr>
            <w:tcW w:w="1445" w:type="dxa"/>
            <w:vAlign w:val="center"/>
          </w:tcPr>
          <w:p w14:paraId="2E41C9CA"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0.0281</w:t>
            </w:r>
          </w:p>
        </w:tc>
        <w:tc>
          <w:tcPr>
            <w:tcW w:w="1356" w:type="dxa"/>
            <w:vAlign w:val="center"/>
          </w:tcPr>
          <w:p w14:paraId="2CE70F35" w14:textId="0F777D1E"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7</w:t>
            </w:r>
          </w:p>
        </w:tc>
        <w:tc>
          <w:tcPr>
            <w:tcW w:w="1592" w:type="dxa"/>
            <w:vAlign w:val="center"/>
          </w:tcPr>
          <w:p w14:paraId="373F24A8"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15.687293</w:t>
            </w:r>
          </w:p>
        </w:tc>
        <w:tc>
          <w:tcPr>
            <w:tcW w:w="1736" w:type="dxa"/>
            <w:vAlign w:val="center"/>
          </w:tcPr>
          <w:p w14:paraId="0C6E0C4D" w14:textId="7607AEC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Hausman</w:t>
            </w:r>
          </w:p>
        </w:tc>
        <w:tc>
          <w:tcPr>
            <w:tcW w:w="1731" w:type="dxa"/>
            <w:vAlign w:val="center"/>
          </w:tcPr>
          <w:p w14:paraId="74DA97DF" w14:textId="77777777" w:rsidR="00146D68" w:rsidRPr="00C862C2" w:rsidRDefault="00146D68" w:rsidP="00C862C2">
            <w:pPr>
              <w:jc w:val="center"/>
              <w:rPr>
                <w:rFonts w:ascii="Times New Roman" w:hAnsi="Times New Roman" w:cs="Times New Roman"/>
                <w:rtl/>
              </w:rPr>
            </w:pPr>
          </w:p>
        </w:tc>
      </w:tr>
      <w:tr w:rsidR="00146D68" w:rsidRPr="00C862C2" w14:paraId="5CD2CF98" w14:textId="77777777" w:rsidTr="00C862C2">
        <w:trPr>
          <w:trHeight w:val="593"/>
        </w:trPr>
        <w:tc>
          <w:tcPr>
            <w:tcW w:w="1492" w:type="dxa"/>
            <w:vAlign w:val="center"/>
          </w:tcPr>
          <w:p w14:paraId="28C73F8A"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Panel</w:t>
            </w:r>
          </w:p>
        </w:tc>
        <w:tc>
          <w:tcPr>
            <w:tcW w:w="1445" w:type="dxa"/>
            <w:vAlign w:val="center"/>
          </w:tcPr>
          <w:p w14:paraId="7EDD5E75"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0.0000</w:t>
            </w:r>
          </w:p>
        </w:tc>
        <w:tc>
          <w:tcPr>
            <w:tcW w:w="1356" w:type="dxa"/>
            <w:vAlign w:val="center"/>
          </w:tcPr>
          <w:p w14:paraId="0D7DA53B"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(139,973)</w:t>
            </w:r>
          </w:p>
        </w:tc>
        <w:tc>
          <w:tcPr>
            <w:tcW w:w="1592" w:type="dxa"/>
            <w:vAlign w:val="center"/>
          </w:tcPr>
          <w:p w14:paraId="283887E6"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3.011746</w:t>
            </w:r>
          </w:p>
        </w:tc>
        <w:tc>
          <w:tcPr>
            <w:tcW w:w="1736" w:type="dxa"/>
            <w:vAlign w:val="center"/>
          </w:tcPr>
          <w:p w14:paraId="1BC256A0"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Chow (LIML F)</w:t>
            </w:r>
          </w:p>
        </w:tc>
        <w:tc>
          <w:tcPr>
            <w:tcW w:w="1731" w:type="dxa"/>
            <w:vAlign w:val="center"/>
          </w:tcPr>
          <w:p w14:paraId="09820A53" w14:textId="1FC9020E"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Decline Stage</w:t>
            </w:r>
          </w:p>
        </w:tc>
      </w:tr>
      <w:tr w:rsidR="00146D68" w:rsidRPr="00C862C2" w14:paraId="1ADBE963" w14:textId="77777777" w:rsidTr="00C862C2">
        <w:trPr>
          <w:trHeight w:val="577"/>
        </w:trPr>
        <w:tc>
          <w:tcPr>
            <w:tcW w:w="1492" w:type="dxa"/>
            <w:vAlign w:val="center"/>
          </w:tcPr>
          <w:p w14:paraId="1E72D1F6"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Fixed Effects</w:t>
            </w:r>
          </w:p>
        </w:tc>
        <w:tc>
          <w:tcPr>
            <w:tcW w:w="1445" w:type="dxa"/>
            <w:vAlign w:val="center"/>
          </w:tcPr>
          <w:p w14:paraId="35ED98BE"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0.0245</w:t>
            </w:r>
          </w:p>
        </w:tc>
        <w:tc>
          <w:tcPr>
            <w:tcW w:w="1356" w:type="dxa"/>
            <w:vAlign w:val="center"/>
          </w:tcPr>
          <w:p w14:paraId="77098AB6"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7</w:t>
            </w:r>
          </w:p>
        </w:tc>
        <w:tc>
          <w:tcPr>
            <w:tcW w:w="1592" w:type="dxa"/>
            <w:vAlign w:val="center"/>
          </w:tcPr>
          <w:p w14:paraId="441B5237" w14:textId="77777777"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16.069563</w:t>
            </w:r>
          </w:p>
        </w:tc>
        <w:tc>
          <w:tcPr>
            <w:tcW w:w="1736" w:type="dxa"/>
            <w:vAlign w:val="center"/>
          </w:tcPr>
          <w:p w14:paraId="672DE99C" w14:textId="7D608D01" w:rsidR="00146D68" w:rsidRPr="00C862C2" w:rsidRDefault="00146D68" w:rsidP="00C862C2">
            <w:pPr>
              <w:jc w:val="center"/>
              <w:rPr>
                <w:rFonts w:ascii="Times New Roman" w:hAnsi="Times New Roman" w:cs="Times New Roman"/>
                <w:rtl/>
              </w:rPr>
            </w:pPr>
            <w:r w:rsidRPr="00C862C2">
              <w:rPr>
                <w:rFonts w:ascii="Times New Roman" w:hAnsi="Times New Roman" w:cs="Times New Roman"/>
              </w:rPr>
              <w:t>Hausman</w:t>
            </w:r>
          </w:p>
        </w:tc>
        <w:tc>
          <w:tcPr>
            <w:tcW w:w="1731" w:type="dxa"/>
            <w:vAlign w:val="center"/>
          </w:tcPr>
          <w:p w14:paraId="6767F982" w14:textId="77777777" w:rsidR="00146D68" w:rsidRPr="00C862C2" w:rsidRDefault="00146D68" w:rsidP="00C862C2">
            <w:pPr>
              <w:jc w:val="center"/>
              <w:rPr>
                <w:rFonts w:ascii="Times New Roman" w:hAnsi="Times New Roman" w:cs="Times New Roman"/>
                <w:rtl/>
              </w:rPr>
            </w:pPr>
          </w:p>
        </w:tc>
      </w:tr>
    </w:tbl>
    <w:p w14:paraId="019549CB" w14:textId="77777777" w:rsidR="00146D68" w:rsidRPr="00C862C2" w:rsidRDefault="00146D68" w:rsidP="00C862C2">
      <w:pPr>
        <w:spacing w:after="0" w:line="240" w:lineRule="auto"/>
        <w:jc w:val="both"/>
        <w:rPr>
          <w:rFonts w:ascii="Times New Roman" w:hAnsi="Times New Roman" w:cs="Times New Roman"/>
        </w:rPr>
      </w:pPr>
    </w:p>
    <w:p w14:paraId="697E4641" w14:textId="6C3E1047" w:rsidR="00E46824" w:rsidRPr="00C862C2" w:rsidRDefault="00E46824" w:rsidP="00C862C2">
      <w:pPr>
        <w:pStyle w:val="Heading3"/>
        <w:spacing w:before="0" w:beforeAutospacing="0" w:after="0" w:afterAutospacing="0"/>
        <w:jc w:val="both"/>
        <w:rPr>
          <w:sz w:val="22"/>
          <w:szCs w:val="22"/>
        </w:rPr>
      </w:pPr>
      <w:r w:rsidRPr="00C862C2">
        <w:rPr>
          <w:sz w:val="22"/>
          <w:szCs w:val="22"/>
        </w:rPr>
        <w:t>5.2.2. Model Estimation</w:t>
      </w:r>
    </w:p>
    <w:p w14:paraId="2C5A0E38" w14:textId="77777777" w:rsidR="00E46824" w:rsidRPr="00C862C2" w:rsidRDefault="00E46824" w:rsidP="00C862C2">
      <w:pPr>
        <w:pStyle w:val="NormalWeb"/>
        <w:spacing w:before="0" w:beforeAutospacing="0" w:after="0" w:afterAutospacing="0"/>
        <w:jc w:val="both"/>
        <w:rPr>
          <w:sz w:val="22"/>
          <w:szCs w:val="22"/>
        </w:rPr>
      </w:pPr>
      <w:r w:rsidRPr="00C862C2">
        <w:rPr>
          <w:sz w:val="22"/>
          <w:szCs w:val="22"/>
        </w:rPr>
        <w:t>In this study, the Durbin–Watson test is used to assess autocorrelation, and the Breusch–Pagan test is applied to examine heteroscedasticity. The Durbin–Watson statistics fall within the acceptable range of 1.5 to 2.5, indicating no autocorrelation. The Breusch–Pagan test results (p &gt; 0.05) confirm homoscedasticity of the residuals.</w:t>
      </w:r>
    </w:p>
    <w:p w14:paraId="15E055AF" w14:textId="77777777" w:rsidR="00E46824" w:rsidRPr="00C862C2" w:rsidRDefault="00E46824" w:rsidP="00C862C2">
      <w:pPr>
        <w:pStyle w:val="NormalWeb"/>
        <w:spacing w:before="0" w:beforeAutospacing="0" w:after="0" w:afterAutospacing="0"/>
        <w:jc w:val="both"/>
        <w:rPr>
          <w:sz w:val="22"/>
          <w:szCs w:val="22"/>
        </w:rPr>
      </w:pPr>
      <w:r w:rsidRPr="00C862C2">
        <w:rPr>
          <w:sz w:val="22"/>
          <w:szCs w:val="22"/>
        </w:rPr>
        <w:t>To evaluate multicollinearity, the Variance Inflation Factor (VIF) is calculated, with all values below the critical threshold of 10, indicating no serious multicollinearity. Therefore, the estimated coefficients are reliable and not affected by internal correlations among explanatory variables.</w:t>
      </w:r>
    </w:p>
    <w:p w14:paraId="5A43DE29" w14:textId="77777777" w:rsidR="00E46824" w:rsidRPr="00C862C2" w:rsidRDefault="00E46824" w:rsidP="00C862C2">
      <w:pPr>
        <w:pStyle w:val="NormalWeb"/>
        <w:spacing w:before="0" w:beforeAutospacing="0" w:after="0" w:afterAutospacing="0"/>
        <w:jc w:val="both"/>
        <w:rPr>
          <w:sz w:val="22"/>
          <w:szCs w:val="22"/>
        </w:rPr>
      </w:pPr>
      <w:r w:rsidRPr="00C862C2">
        <w:rPr>
          <w:sz w:val="22"/>
          <w:szCs w:val="22"/>
        </w:rPr>
        <w:t>The F-statistic is significant at the 1% level (p &lt; 0.05), confirming the overall validity of the regression models. The adjusted R-squared values show that the independent and control variables explain more than 46% of the variation in accounting conservatism in the growth and maturity stages, and approximately 47% in the decline stage for firms listed on the Tehran Stock Exchange.</w:t>
      </w:r>
    </w:p>
    <w:p w14:paraId="3C666F7B" w14:textId="77777777" w:rsidR="00146D68" w:rsidRPr="00C862C2" w:rsidRDefault="00146D68" w:rsidP="00C862C2">
      <w:pPr>
        <w:pStyle w:val="NormalWeb"/>
        <w:spacing w:before="0" w:beforeAutospacing="0" w:after="0" w:afterAutospacing="0"/>
        <w:jc w:val="both"/>
        <w:rPr>
          <w:sz w:val="22"/>
          <w:szCs w:val="22"/>
        </w:rPr>
      </w:pPr>
    </w:p>
    <w:p w14:paraId="36644779" w14:textId="33EABC63" w:rsidR="00146D68" w:rsidRPr="00C862C2" w:rsidRDefault="00146D68" w:rsidP="00C862C2">
      <w:pPr>
        <w:spacing w:after="0" w:line="240" w:lineRule="auto"/>
        <w:jc w:val="both"/>
        <w:rPr>
          <w:rFonts w:ascii="Times New Roman" w:hAnsi="Times New Roman" w:cs="Times New Roman"/>
        </w:rPr>
      </w:pPr>
      <w:r w:rsidRPr="00C862C2">
        <w:rPr>
          <w:rFonts w:ascii="Times New Roman" w:hAnsi="Times New Roman" w:cs="Times New Roman"/>
          <w:b/>
          <w:bCs/>
        </w:rPr>
        <w:t xml:space="preserve">Table 8. </w:t>
      </w:r>
      <w:r w:rsidRPr="00C862C2">
        <w:rPr>
          <w:rFonts w:ascii="Times New Roman" w:hAnsi="Times New Roman" w:cs="Times New Roman"/>
        </w:rPr>
        <w:t>Regression Model Estimation Results</w:t>
      </w:r>
    </w:p>
    <w:tbl>
      <w:tblPr>
        <w:bidiVisual/>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74"/>
        <w:gridCol w:w="585"/>
        <w:gridCol w:w="721"/>
        <w:gridCol w:w="945"/>
        <w:gridCol w:w="674"/>
        <w:gridCol w:w="585"/>
        <w:gridCol w:w="721"/>
        <w:gridCol w:w="945"/>
        <w:gridCol w:w="674"/>
        <w:gridCol w:w="585"/>
        <w:gridCol w:w="721"/>
        <w:gridCol w:w="946"/>
      </w:tblGrid>
      <w:tr w:rsidR="00146D68" w:rsidRPr="00C862C2" w14:paraId="79F51D4E" w14:textId="77777777" w:rsidTr="00146D68">
        <w:trPr>
          <w:trHeight w:val="70"/>
          <w:jc w:val="center"/>
        </w:trPr>
        <w:tc>
          <w:tcPr>
            <w:tcW w:w="704" w:type="dxa"/>
            <w:shd w:val="clear" w:color="auto" w:fill="FFFFFF" w:themeFill="background1"/>
            <w:vAlign w:val="center"/>
          </w:tcPr>
          <w:p w14:paraId="4016C3E0"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Dependent Variable</w:t>
            </w:r>
          </w:p>
        </w:tc>
        <w:tc>
          <w:tcPr>
            <w:tcW w:w="8776" w:type="dxa"/>
            <w:gridSpan w:val="12"/>
            <w:shd w:val="clear" w:color="auto" w:fill="FFFFFF" w:themeFill="background1"/>
            <w:vAlign w:val="center"/>
          </w:tcPr>
          <w:p w14:paraId="446536D3"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Accounting Conservatism</w:t>
            </w:r>
          </w:p>
        </w:tc>
      </w:tr>
      <w:tr w:rsidR="00146D68" w:rsidRPr="00C862C2" w14:paraId="13099E73" w14:textId="77777777" w:rsidTr="00146D68">
        <w:trPr>
          <w:trHeight w:val="70"/>
          <w:jc w:val="center"/>
        </w:trPr>
        <w:tc>
          <w:tcPr>
            <w:tcW w:w="704" w:type="dxa"/>
            <w:shd w:val="clear" w:color="auto" w:fill="FFFFFF" w:themeFill="background1"/>
            <w:vAlign w:val="center"/>
          </w:tcPr>
          <w:p w14:paraId="4B7245AD"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Dependent Variable</w:t>
            </w:r>
          </w:p>
        </w:tc>
        <w:tc>
          <w:tcPr>
            <w:tcW w:w="674" w:type="dxa"/>
            <w:shd w:val="clear" w:color="auto" w:fill="FFFFFF" w:themeFill="background1"/>
            <w:vAlign w:val="center"/>
          </w:tcPr>
          <w:p w14:paraId="79E7DFED"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Coefficient</w:t>
            </w:r>
          </w:p>
        </w:tc>
        <w:tc>
          <w:tcPr>
            <w:tcW w:w="585" w:type="dxa"/>
            <w:shd w:val="clear" w:color="auto" w:fill="FFFFFF" w:themeFill="background1"/>
            <w:vAlign w:val="center"/>
          </w:tcPr>
          <w:p w14:paraId="4F867E62"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t-statistic</w:t>
            </w:r>
          </w:p>
        </w:tc>
        <w:tc>
          <w:tcPr>
            <w:tcW w:w="721" w:type="dxa"/>
            <w:shd w:val="clear" w:color="auto" w:fill="FFFFFF" w:themeFill="background1"/>
            <w:vAlign w:val="center"/>
          </w:tcPr>
          <w:p w14:paraId="75AB5608"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Significance</w:t>
            </w:r>
          </w:p>
        </w:tc>
        <w:tc>
          <w:tcPr>
            <w:tcW w:w="944" w:type="dxa"/>
            <w:shd w:val="clear" w:color="auto" w:fill="FFFFFF" w:themeFill="background1"/>
            <w:vAlign w:val="center"/>
          </w:tcPr>
          <w:p w14:paraId="49106857"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Homoscedasticity</w:t>
            </w:r>
          </w:p>
        </w:tc>
        <w:tc>
          <w:tcPr>
            <w:tcW w:w="674" w:type="dxa"/>
            <w:shd w:val="clear" w:color="auto" w:fill="FFFFFF" w:themeFill="background1"/>
            <w:vAlign w:val="center"/>
          </w:tcPr>
          <w:p w14:paraId="157FC021"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Coefficient</w:t>
            </w:r>
          </w:p>
        </w:tc>
        <w:tc>
          <w:tcPr>
            <w:tcW w:w="585" w:type="dxa"/>
            <w:shd w:val="clear" w:color="auto" w:fill="FFFFFF" w:themeFill="background1"/>
            <w:vAlign w:val="center"/>
          </w:tcPr>
          <w:p w14:paraId="60FA6264"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t-statistic</w:t>
            </w:r>
          </w:p>
        </w:tc>
        <w:tc>
          <w:tcPr>
            <w:tcW w:w="721" w:type="dxa"/>
            <w:shd w:val="clear" w:color="auto" w:fill="FFFFFF" w:themeFill="background1"/>
            <w:vAlign w:val="center"/>
          </w:tcPr>
          <w:p w14:paraId="009D7D35"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Significance</w:t>
            </w:r>
          </w:p>
        </w:tc>
        <w:tc>
          <w:tcPr>
            <w:tcW w:w="944" w:type="dxa"/>
            <w:shd w:val="clear" w:color="auto" w:fill="FFFFFF" w:themeFill="background1"/>
            <w:vAlign w:val="center"/>
          </w:tcPr>
          <w:p w14:paraId="34D91CCB"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Homoscedasticity</w:t>
            </w:r>
          </w:p>
        </w:tc>
        <w:tc>
          <w:tcPr>
            <w:tcW w:w="674" w:type="dxa"/>
            <w:shd w:val="clear" w:color="auto" w:fill="FFFFFF" w:themeFill="background1"/>
            <w:vAlign w:val="center"/>
          </w:tcPr>
          <w:p w14:paraId="0832569E"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Coefficient</w:t>
            </w:r>
          </w:p>
        </w:tc>
        <w:tc>
          <w:tcPr>
            <w:tcW w:w="585" w:type="dxa"/>
            <w:shd w:val="clear" w:color="auto" w:fill="FFFFFF" w:themeFill="background1"/>
            <w:vAlign w:val="center"/>
          </w:tcPr>
          <w:p w14:paraId="0E31933A"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t-statistic</w:t>
            </w:r>
          </w:p>
        </w:tc>
        <w:tc>
          <w:tcPr>
            <w:tcW w:w="721" w:type="dxa"/>
            <w:shd w:val="clear" w:color="auto" w:fill="FFFFFF" w:themeFill="background1"/>
            <w:vAlign w:val="center"/>
          </w:tcPr>
          <w:p w14:paraId="1EE9CD29"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Significance</w:t>
            </w:r>
          </w:p>
        </w:tc>
        <w:tc>
          <w:tcPr>
            <w:tcW w:w="944" w:type="dxa"/>
            <w:shd w:val="clear" w:color="auto" w:fill="FFFFFF" w:themeFill="background1"/>
            <w:vAlign w:val="center"/>
          </w:tcPr>
          <w:p w14:paraId="0A7058C1"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Homoscedasticity</w:t>
            </w:r>
          </w:p>
        </w:tc>
      </w:tr>
      <w:tr w:rsidR="00146D68" w:rsidRPr="00C862C2" w14:paraId="55BC04B1" w14:textId="77777777" w:rsidTr="00146D68">
        <w:trPr>
          <w:trHeight w:val="70"/>
          <w:jc w:val="center"/>
        </w:trPr>
        <w:tc>
          <w:tcPr>
            <w:tcW w:w="704" w:type="dxa"/>
            <w:vAlign w:val="center"/>
          </w:tcPr>
          <w:p w14:paraId="731051B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C</w:t>
            </w:r>
          </w:p>
        </w:tc>
        <w:tc>
          <w:tcPr>
            <w:tcW w:w="674" w:type="dxa"/>
            <w:vAlign w:val="center"/>
          </w:tcPr>
          <w:p w14:paraId="541AE66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0.182748</w:t>
            </w:r>
          </w:p>
        </w:tc>
        <w:tc>
          <w:tcPr>
            <w:tcW w:w="585" w:type="dxa"/>
            <w:vAlign w:val="center"/>
          </w:tcPr>
          <w:p w14:paraId="2706D437"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16.12870</w:t>
            </w:r>
          </w:p>
        </w:tc>
        <w:tc>
          <w:tcPr>
            <w:tcW w:w="721" w:type="dxa"/>
            <w:vAlign w:val="center"/>
          </w:tcPr>
          <w:p w14:paraId="4C081C0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6E28B89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w:t>
            </w:r>
          </w:p>
        </w:tc>
        <w:tc>
          <w:tcPr>
            <w:tcW w:w="674" w:type="dxa"/>
            <w:vAlign w:val="center"/>
          </w:tcPr>
          <w:p w14:paraId="2B3DAC6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0.179562</w:t>
            </w:r>
          </w:p>
        </w:tc>
        <w:tc>
          <w:tcPr>
            <w:tcW w:w="585" w:type="dxa"/>
            <w:vAlign w:val="center"/>
          </w:tcPr>
          <w:p w14:paraId="780CC74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15.76806</w:t>
            </w:r>
          </w:p>
        </w:tc>
        <w:tc>
          <w:tcPr>
            <w:tcW w:w="721" w:type="dxa"/>
            <w:vAlign w:val="center"/>
          </w:tcPr>
          <w:p w14:paraId="1D47094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493AB74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w:t>
            </w:r>
          </w:p>
        </w:tc>
        <w:tc>
          <w:tcPr>
            <w:tcW w:w="674" w:type="dxa"/>
            <w:vAlign w:val="center"/>
          </w:tcPr>
          <w:p w14:paraId="6C965FF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0.181577</w:t>
            </w:r>
          </w:p>
        </w:tc>
        <w:tc>
          <w:tcPr>
            <w:tcW w:w="585" w:type="dxa"/>
            <w:vAlign w:val="center"/>
          </w:tcPr>
          <w:p w14:paraId="5FEC1E2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15.99703</w:t>
            </w:r>
          </w:p>
        </w:tc>
        <w:tc>
          <w:tcPr>
            <w:tcW w:w="721" w:type="dxa"/>
            <w:vAlign w:val="center"/>
          </w:tcPr>
          <w:p w14:paraId="004EC55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68F68E3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w:t>
            </w:r>
          </w:p>
        </w:tc>
      </w:tr>
      <w:tr w:rsidR="00146D68" w:rsidRPr="00C862C2" w14:paraId="4C85ADAC" w14:textId="77777777" w:rsidTr="00146D68">
        <w:trPr>
          <w:trHeight w:val="70"/>
          <w:jc w:val="center"/>
        </w:trPr>
        <w:tc>
          <w:tcPr>
            <w:tcW w:w="704" w:type="dxa"/>
            <w:vAlign w:val="center"/>
          </w:tcPr>
          <w:p w14:paraId="290CE18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GR</w:t>
            </w:r>
          </w:p>
        </w:tc>
        <w:tc>
          <w:tcPr>
            <w:tcW w:w="674" w:type="dxa"/>
            <w:vAlign w:val="center"/>
          </w:tcPr>
          <w:p w14:paraId="6E35C39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0.003418</w:t>
            </w:r>
          </w:p>
        </w:tc>
        <w:tc>
          <w:tcPr>
            <w:tcW w:w="585" w:type="dxa"/>
            <w:vAlign w:val="center"/>
          </w:tcPr>
          <w:p w14:paraId="1F9DBB9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1.312333</w:t>
            </w:r>
          </w:p>
        </w:tc>
        <w:tc>
          <w:tcPr>
            <w:tcW w:w="721" w:type="dxa"/>
            <w:vAlign w:val="center"/>
          </w:tcPr>
          <w:p w14:paraId="0131949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0.1894</w:t>
            </w:r>
          </w:p>
        </w:tc>
        <w:tc>
          <w:tcPr>
            <w:tcW w:w="944" w:type="dxa"/>
            <w:vAlign w:val="center"/>
          </w:tcPr>
          <w:p w14:paraId="661E932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1.007846</w:t>
            </w:r>
          </w:p>
        </w:tc>
        <w:tc>
          <w:tcPr>
            <w:tcW w:w="674" w:type="dxa"/>
            <w:vAlign w:val="center"/>
          </w:tcPr>
          <w:p w14:paraId="3DFF929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585" w:type="dxa"/>
            <w:vAlign w:val="center"/>
          </w:tcPr>
          <w:p w14:paraId="10A766E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721" w:type="dxa"/>
            <w:vAlign w:val="center"/>
          </w:tcPr>
          <w:p w14:paraId="012265D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944" w:type="dxa"/>
            <w:vAlign w:val="center"/>
          </w:tcPr>
          <w:p w14:paraId="1FA8862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674" w:type="dxa"/>
            <w:vAlign w:val="center"/>
          </w:tcPr>
          <w:p w14:paraId="1F2F326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585" w:type="dxa"/>
            <w:vAlign w:val="center"/>
          </w:tcPr>
          <w:p w14:paraId="70AC78A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721" w:type="dxa"/>
            <w:vAlign w:val="center"/>
          </w:tcPr>
          <w:p w14:paraId="239DBD2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944" w:type="dxa"/>
            <w:vAlign w:val="center"/>
          </w:tcPr>
          <w:p w14:paraId="756F5E6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r>
      <w:tr w:rsidR="00146D68" w:rsidRPr="00C862C2" w14:paraId="10E914E9" w14:textId="77777777" w:rsidTr="00146D68">
        <w:trPr>
          <w:trHeight w:val="70"/>
          <w:jc w:val="center"/>
        </w:trPr>
        <w:tc>
          <w:tcPr>
            <w:tcW w:w="704" w:type="dxa"/>
            <w:vAlign w:val="center"/>
          </w:tcPr>
          <w:p w14:paraId="3F647CE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MAT</w:t>
            </w:r>
          </w:p>
        </w:tc>
        <w:tc>
          <w:tcPr>
            <w:tcW w:w="674" w:type="dxa"/>
            <w:vAlign w:val="center"/>
          </w:tcPr>
          <w:p w14:paraId="0D19309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585" w:type="dxa"/>
            <w:vAlign w:val="center"/>
          </w:tcPr>
          <w:p w14:paraId="1A6AF0C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721" w:type="dxa"/>
            <w:vAlign w:val="center"/>
          </w:tcPr>
          <w:p w14:paraId="13A47BF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944" w:type="dxa"/>
            <w:vAlign w:val="center"/>
          </w:tcPr>
          <w:p w14:paraId="2834222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674" w:type="dxa"/>
            <w:vAlign w:val="center"/>
          </w:tcPr>
          <w:p w14:paraId="730FC65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0.009341</w:t>
            </w:r>
          </w:p>
        </w:tc>
        <w:tc>
          <w:tcPr>
            <w:tcW w:w="585" w:type="dxa"/>
            <w:vAlign w:val="center"/>
          </w:tcPr>
          <w:p w14:paraId="3F3958C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1.964182</w:t>
            </w:r>
          </w:p>
        </w:tc>
        <w:tc>
          <w:tcPr>
            <w:tcW w:w="721" w:type="dxa"/>
            <w:vAlign w:val="center"/>
          </w:tcPr>
          <w:p w14:paraId="160F2A9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0.0495</w:t>
            </w:r>
          </w:p>
        </w:tc>
        <w:tc>
          <w:tcPr>
            <w:tcW w:w="944" w:type="dxa"/>
            <w:vAlign w:val="center"/>
          </w:tcPr>
          <w:p w14:paraId="5EE20FC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1.014600</w:t>
            </w:r>
          </w:p>
        </w:tc>
        <w:tc>
          <w:tcPr>
            <w:tcW w:w="674" w:type="dxa"/>
            <w:vAlign w:val="center"/>
          </w:tcPr>
          <w:p w14:paraId="21849AE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585" w:type="dxa"/>
            <w:vAlign w:val="center"/>
          </w:tcPr>
          <w:p w14:paraId="7737D76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721" w:type="dxa"/>
            <w:vAlign w:val="center"/>
          </w:tcPr>
          <w:p w14:paraId="344E6BF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944" w:type="dxa"/>
            <w:vAlign w:val="center"/>
          </w:tcPr>
          <w:p w14:paraId="3F8FF64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r>
      <w:tr w:rsidR="00146D68" w:rsidRPr="00C862C2" w14:paraId="6A3ADE6A" w14:textId="77777777" w:rsidTr="00146D68">
        <w:trPr>
          <w:trHeight w:val="70"/>
          <w:jc w:val="center"/>
        </w:trPr>
        <w:tc>
          <w:tcPr>
            <w:tcW w:w="704" w:type="dxa"/>
            <w:vAlign w:val="center"/>
          </w:tcPr>
          <w:p w14:paraId="58D3EAD0"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rPr>
              <w:t>DEC</w:t>
            </w:r>
          </w:p>
        </w:tc>
        <w:tc>
          <w:tcPr>
            <w:tcW w:w="674" w:type="dxa"/>
            <w:vAlign w:val="center"/>
          </w:tcPr>
          <w:p w14:paraId="54E401E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585" w:type="dxa"/>
            <w:vAlign w:val="center"/>
          </w:tcPr>
          <w:p w14:paraId="4A2AF58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721" w:type="dxa"/>
            <w:vAlign w:val="center"/>
          </w:tcPr>
          <w:p w14:paraId="6D1A35B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944" w:type="dxa"/>
            <w:vAlign w:val="center"/>
          </w:tcPr>
          <w:p w14:paraId="218BF9D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674" w:type="dxa"/>
            <w:vAlign w:val="center"/>
          </w:tcPr>
          <w:p w14:paraId="11FB60E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585" w:type="dxa"/>
            <w:vAlign w:val="center"/>
          </w:tcPr>
          <w:p w14:paraId="73C23F0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721" w:type="dxa"/>
            <w:vAlign w:val="center"/>
          </w:tcPr>
          <w:p w14:paraId="7DFA0FE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944" w:type="dxa"/>
            <w:vAlign w:val="center"/>
          </w:tcPr>
          <w:p w14:paraId="7D4192B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tl/>
              </w:rPr>
              <w:t>-</w:t>
            </w:r>
          </w:p>
        </w:tc>
        <w:tc>
          <w:tcPr>
            <w:tcW w:w="674" w:type="dxa"/>
            <w:vAlign w:val="center"/>
          </w:tcPr>
          <w:p w14:paraId="57A7844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-0.010854</w:t>
            </w:r>
          </w:p>
        </w:tc>
        <w:tc>
          <w:tcPr>
            <w:tcW w:w="585" w:type="dxa"/>
            <w:vAlign w:val="center"/>
          </w:tcPr>
          <w:p w14:paraId="508A580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-2.419782</w:t>
            </w:r>
          </w:p>
        </w:tc>
        <w:tc>
          <w:tcPr>
            <w:tcW w:w="721" w:type="dxa"/>
            <w:vAlign w:val="center"/>
          </w:tcPr>
          <w:p w14:paraId="665F11C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0.0157</w:t>
            </w:r>
          </w:p>
        </w:tc>
        <w:tc>
          <w:tcPr>
            <w:tcW w:w="944" w:type="dxa"/>
            <w:vAlign w:val="center"/>
          </w:tcPr>
          <w:p w14:paraId="6838E87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1.020815</w:t>
            </w:r>
          </w:p>
        </w:tc>
      </w:tr>
      <w:tr w:rsidR="00146D68" w:rsidRPr="00C862C2" w14:paraId="76D36A9C" w14:textId="77777777" w:rsidTr="00146D68">
        <w:trPr>
          <w:trHeight w:val="70"/>
          <w:jc w:val="center"/>
        </w:trPr>
        <w:tc>
          <w:tcPr>
            <w:tcW w:w="704" w:type="dxa"/>
            <w:vAlign w:val="center"/>
          </w:tcPr>
          <w:p w14:paraId="6F7389C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SIZE</w:t>
            </w:r>
          </w:p>
        </w:tc>
        <w:tc>
          <w:tcPr>
            <w:tcW w:w="674" w:type="dxa"/>
            <w:vAlign w:val="center"/>
          </w:tcPr>
          <w:p w14:paraId="3E78BDF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-0.002822</w:t>
            </w:r>
          </w:p>
        </w:tc>
        <w:tc>
          <w:tcPr>
            <w:tcW w:w="585" w:type="dxa"/>
            <w:vAlign w:val="center"/>
          </w:tcPr>
          <w:p w14:paraId="391D0C3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-3.731798</w:t>
            </w:r>
          </w:p>
        </w:tc>
        <w:tc>
          <w:tcPr>
            <w:tcW w:w="721" w:type="dxa"/>
            <w:vAlign w:val="center"/>
          </w:tcPr>
          <w:p w14:paraId="2A6B79F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0.0002</w:t>
            </w:r>
          </w:p>
        </w:tc>
        <w:tc>
          <w:tcPr>
            <w:tcW w:w="944" w:type="dxa"/>
            <w:vAlign w:val="center"/>
          </w:tcPr>
          <w:p w14:paraId="7833EC7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1.151694</w:t>
            </w:r>
          </w:p>
        </w:tc>
        <w:tc>
          <w:tcPr>
            <w:tcW w:w="674" w:type="dxa"/>
            <w:vAlign w:val="center"/>
          </w:tcPr>
          <w:p w14:paraId="7B02D62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-0.002847</w:t>
            </w:r>
          </w:p>
        </w:tc>
        <w:tc>
          <w:tcPr>
            <w:tcW w:w="585" w:type="dxa"/>
            <w:vAlign w:val="center"/>
          </w:tcPr>
          <w:p w14:paraId="36DFC42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-3.757914</w:t>
            </w:r>
          </w:p>
        </w:tc>
        <w:tc>
          <w:tcPr>
            <w:tcW w:w="721" w:type="dxa"/>
            <w:vAlign w:val="center"/>
          </w:tcPr>
          <w:p w14:paraId="4176035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0.0002</w:t>
            </w:r>
          </w:p>
        </w:tc>
        <w:tc>
          <w:tcPr>
            <w:tcW w:w="944" w:type="dxa"/>
            <w:vAlign w:val="center"/>
          </w:tcPr>
          <w:p w14:paraId="676ABFE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1.156024</w:t>
            </w:r>
          </w:p>
        </w:tc>
        <w:tc>
          <w:tcPr>
            <w:tcW w:w="674" w:type="dxa"/>
            <w:vAlign w:val="center"/>
          </w:tcPr>
          <w:p w14:paraId="0551BE1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-0.002792</w:t>
            </w:r>
          </w:p>
        </w:tc>
        <w:tc>
          <w:tcPr>
            <w:tcW w:w="585" w:type="dxa"/>
            <w:vAlign w:val="center"/>
          </w:tcPr>
          <w:p w14:paraId="2BF64DC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-3.686834</w:t>
            </w:r>
          </w:p>
        </w:tc>
        <w:tc>
          <w:tcPr>
            <w:tcW w:w="721" w:type="dxa"/>
            <w:vAlign w:val="center"/>
          </w:tcPr>
          <w:p w14:paraId="2312817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0.0002</w:t>
            </w:r>
          </w:p>
        </w:tc>
        <w:tc>
          <w:tcPr>
            <w:tcW w:w="944" w:type="dxa"/>
            <w:vAlign w:val="center"/>
          </w:tcPr>
          <w:p w14:paraId="17FD989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1.154686</w:t>
            </w:r>
          </w:p>
        </w:tc>
      </w:tr>
      <w:tr w:rsidR="00146D68" w:rsidRPr="00C862C2" w14:paraId="5A27827E" w14:textId="77777777" w:rsidTr="00146D68">
        <w:trPr>
          <w:trHeight w:val="70"/>
          <w:jc w:val="center"/>
        </w:trPr>
        <w:tc>
          <w:tcPr>
            <w:tcW w:w="704" w:type="dxa"/>
            <w:vAlign w:val="center"/>
          </w:tcPr>
          <w:p w14:paraId="27ADE4C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LEV</w:t>
            </w:r>
          </w:p>
        </w:tc>
        <w:tc>
          <w:tcPr>
            <w:tcW w:w="674" w:type="dxa"/>
            <w:vAlign w:val="center"/>
          </w:tcPr>
          <w:p w14:paraId="552D59D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0.029745</w:t>
            </w:r>
          </w:p>
        </w:tc>
        <w:tc>
          <w:tcPr>
            <w:tcW w:w="585" w:type="dxa"/>
            <w:vAlign w:val="center"/>
          </w:tcPr>
          <w:p w14:paraId="47DB660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4.241162</w:t>
            </w:r>
          </w:p>
        </w:tc>
        <w:tc>
          <w:tcPr>
            <w:tcW w:w="721" w:type="dxa"/>
            <w:vAlign w:val="center"/>
          </w:tcPr>
          <w:p w14:paraId="46E57F0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6D47AFC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1.601018</w:t>
            </w:r>
          </w:p>
        </w:tc>
        <w:tc>
          <w:tcPr>
            <w:tcW w:w="674" w:type="dxa"/>
            <w:vAlign w:val="center"/>
          </w:tcPr>
          <w:p w14:paraId="7230070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0.030463</w:t>
            </w:r>
          </w:p>
        </w:tc>
        <w:tc>
          <w:tcPr>
            <w:tcW w:w="585" w:type="dxa"/>
            <w:vAlign w:val="center"/>
          </w:tcPr>
          <w:p w14:paraId="378AF40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4.346562</w:t>
            </w:r>
          </w:p>
        </w:tc>
        <w:tc>
          <w:tcPr>
            <w:tcW w:w="721" w:type="dxa"/>
            <w:vAlign w:val="center"/>
          </w:tcPr>
          <w:p w14:paraId="68C1ACC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690F2E0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1.598487</w:t>
            </w:r>
          </w:p>
        </w:tc>
        <w:tc>
          <w:tcPr>
            <w:tcW w:w="674" w:type="dxa"/>
            <w:vAlign w:val="center"/>
          </w:tcPr>
          <w:p w14:paraId="0664CE0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0.030407</w:t>
            </w:r>
          </w:p>
        </w:tc>
        <w:tc>
          <w:tcPr>
            <w:tcW w:w="585" w:type="dxa"/>
            <w:vAlign w:val="center"/>
          </w:tcPr>
          <w:p w14:paraId="6440D16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4.334748</w:t>
            </w:r>
          </w:p>
        </w:tc>
        <w:tc>
          <w:tcPr>
            <w:tcW w:w="721" w:type="dxa"/>
            <w:vAlign w:val="center"/>
          </w:tcPr>
          <w:p w14:paraId="25AF88E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5A250B1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1.600999</w:t>
            </w:r>
          </w:p>
        </w:tc>
      </w:tr>
      <w:tr w:rsidR="00146D68" w:rsidRPr="00C862C2" w14:paraId="35CE3BC2" w14:textId="77777777" w:rsidTr="00146D68">
        <w:trPr>
          <w:trHeight w:val="70"/>
          <w:jc w:val="center"/>
        </w:trPr>
        <w:tc>
          <w:tcPr>
            <w:tcW w:w="704" w:type="dxa"/>
            <w:vAlign w:val="center"/>
          </w:tcPr>
          <w:p w14:paraId="38C5EF6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ROA</w:t>
            </w:r>
          </w:p>
        </w:tc>
        <w:tc>
          <w:tcPr>
            <w:tcW w:w="674" w:type="dxa"/>
            <w:vAlign w:val="center"/>
          </w:tcPr>
          <w:p w14:paraId="1C7DC47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0.052869</w:t>
            </w:r>
          </w:p>
        </w:tc>
        <w:tc>
          <w:tcPr>
            <w:tcW w:w="585" w:type="dxa"/>
            <w:vAlign w:val="center"/>
          </w:tcPr>
          <w:p w14:paraId="1FE5F93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4.966897</w:t>
            </w:r>
          </w:p>
        </w:tc>
        <w:tc>
          <w:tcPr>
            <w:tcW w:w="721" w:type="dxa"/>
            <w:vAlign w:val="center"/>
          </w:tcPr>
          <w:p w14:paraId="5496AED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33BE2B3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2.153072</w:t>
            </w:r>
          </w:p>
        </w:tc>
        <w:tc>
          <w:tcPr>
            <w:tcW w:w="674" w:type="dxa"/>
            <w:vAlign w:val="center"/>
          </w:tcPr>
          <w:p w14:paraId="218DF21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0.053600</w:t>
            </w:r>
          </w:p>
        </w:tc>
        <w:tc>
          <w:tcPr>
            <w:tcW w:w="585" w:type="dxa"/>
            <w:vAlign w:val="center"/>
          </w:tcPr>
          <w:p w14:paraId="5D8E47C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5.040021</w:t>
            </w:r>
          </w:p>
        </w:tc>
        <w:tc>
          <w:tcPr>
            <w:tcW w:w="721" w:type="dxa"/>
            <w:vAlign w:val="center"/>
          </w:tcPr>
          <w:p w14:paraId="3663B5A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2A3D32F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2.148856</w:t>
            </w:r>
          </w:p>
        </w:tc>
        <w:tc>
          <w:tcPr>
            <w:tcW w:w="674" w:type="dxa"/>
            <w:vAlign w:val="center"/>
          </w:tcPr>
          <w:p w14:paraId="08D82EE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0.053910</w:t>
            </w:r>
          </w:p>
        </w:tc>
        <w:tc>
          <w:tcPr>
            <w:tcW w:w="585" w:type="dxa"/>
            <w:vAlign w:val="center"/>
          </w:tcPr>
          <w:p w14:paraId="688B33B8"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5.069750</w:t>
            </w:r>
          </w:p>
        </w:tc>
        <w:tc>
          <w:tcPr>
            <w:tcW w:w="721" w:type="dxa"/>
            <w:vAlign w:val="center"/>
          </w:tcPr>
          <w:p w14:paraId="3F4C0CB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6390670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2.148013</w:t>
            </w:r>
          </w:p>
        </w:tc>
      </w:tr>
      <w:tr w:rsidR="00146D68" w:rsidRPr="00C862C2" w14:paraId="09050B0D" w14:textId="77777777" w:rsidTr="00146D68">
        <w:trPr>
          <w:trHeight w:val="103"/>
          <w:jc w:val="center"/>
        </w:trPr>
        <w:tc>
          <w:tcPr>
            <w:tcW w:w="704" w:type="dxa"/>
            <w:vAlign w:val="center"/>
          </w:tcPr>
          <w:p w14:paraId="43D759B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OCF</w:t>
            </w:r>
          </w:p>
        </w:tc>
        <w:tc>
          <w:tcPr>
            <w:tcW w:w="674" w:type="dxa"/>
            <w:vAlign w:val="center"/>
          </w:tcPr>
          <w:p w14:paraId="379AA6D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-0.048001</w:t>
            </w:r>
          </w:p>
        </w:tc>
        <w:tc>
          <w:tcPr>
            <w:tcW w:w="585" w:type="dxa"/>
            <w:vAlign w:val="center"/>
          </w:tcPr>
          <w:p w14:paraId="42FE5CC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-5.807443</w:t>
            </w:r>
          </w:p>
        </w:tc>
        <w:tc>
          <w:tcPr>
            <w:tcW w:w="721" w:type="dxa"/>
            <w:vAlign w:val="center"/>
          </w:tcPr>
          <w:p w14:paraId="3339B7E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4851C81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1.269325</w:t>
            </w:r>
          </w:p>
        </w:tc>
        <w:tc>
          <w:tcPr>
            <w:tcW w:w="674" w:type="dxa"/>
            <w:vAlign w:val="center"/>
          </w:tcPr>
          <w:p w14:paraId="04757DF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-0.047705</w:t>
            </w:r>
          </w:p>
        </w:tc>
        <w:tc>
          <w:tcPr>
            <w:tcW w:w="585" w:type="dxa"/>
            <w:vAlign w:val="center"/>
          </w:tcPr>
          <w:p w14:paraId="2A6DFFE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-5.766084</w:t>
            </w:r>
          </w:p>
        </w:tc>
        <w:tc>
          <w:tcPr>
            <w:tcW w:w="721" w:type="dxa"/>
            <w:vAlign w:val="center"/>
          </w:tcPr>
          <w:p w14:paraId="58FF7AA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5C11B09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1.271495</w:t>
            </w:r>
          </w:p>
        </w:tc>
        <w:tc>
          <w:tcPr>
            <w:tcW w:w="674" w:type="dxa"/>
            <w:vAlign w:val="center"/>
          </w:tcPr>
          <w:p w14:paraId="2DB13D3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-0.048077</w:t>
            </w:r>
          </w:p>
        </w:tc>
        <w:tc>
          <w:tcPr>
            <w:tcW w:w="585" w:type="dxa"/>
            <w:vAlign w:val="center"/>
          </w:tcPr>
          <w:p w14:paraId="038754E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-5.810880</w:t>
            </w:r>
          </w:p>
        </w:tc>
        <w:tc>
          <w:tcPr>
            <w:tcW w:w="721" w:type="dxa"/>
            <w:vAlign w:val="center"/>
          </w:tcPr>
          <w:p w14:paraId="79D20D6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0A58BAD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1.271356</w:t>
            </w:r>
          </w:p>
        </w:tc>
      </w:tr>
      <w:tr w:rsidR="00146D68" w:rsidRPr="00C862C2" w14:paraId="20EC73AD" w14:textId="77777777" w:rsidTr="00146D68">
        <w:trPr>
          <w:trHeight w:val="70"/>
          <w:jc w:val="center"/>
        </w:trPr>
        <w:tc>
          <w:tcPr>
            <w:tcW w:w="704" w:type="dxa"/>
            <w:vAlign w:val="center"/>
          </w:tcPr>
          <w:p w14:paraId="21859AA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SG</w:t>
            </w:r>
          </w:p>
        </w:tc>
        <w:tc>
          <w:tcPr>
            <w:tcW w:w="674" w:type="dxa"/>
            <w:vAlign w:val="center"/>
          </w:tcPr>
          <w:p w14:paraId="1D8A197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0.010769</w:t>
            </w:r>
          </w:p>
        </w:tc>
        <w:tc>
          <w:tcPr>
            <w:tcW w:w="585" w:type="dxa"/>
            <w:vAlign w:val="center"/>
          </w:tcPr>
          <w:p w14:paraId="55FE965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5.256650</w:t>
            </w:r>
          </w:p>
        </w:tc>
        <w:tc>
          <w:tcPr>
            <w:tcW w:w="721" w:type="dxa"/>
            <w:vAlign w:val="center"/>
          </w:tcPr>
          <w:p w14:paraId="22DA210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2531134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1.127227</w:t>
            </w:r>
          </w:p>
        </w:tc>
        <w:tc>
          <w:tcPr>
            <w:tcW w:w="674" w:type="dxa"/>
            <w:vAlign w:val="center"/>
          </w:tcPr>
          <w:p w14:paraId="66BE7F6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0.010372</w:t>
            </w:r>
          </w:p>
        </w:tc>
        <w:tc>
          <w:tcPr>
            <w:tcW w:w="585" w:type="dxa"/>
            <w:vAlign w:val="center"/>
          </w:tcPr>
          <w:p w14:paraId="352AC47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5.067700</w:t>
            </w:r>
          </w:p>
        </w:tc>
        <w:tc>
          <w:tcPr>
            <w:tcW w:w="721" w:type="dxa"/>
            <w:vAlign w:val="center"/>
          </w:tcPr>
          <w:p w14:paraId="44BF396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770B200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1.124868</w:t>
            </w:r>
          </w:p>
        </w:tc>
        <w:tc>
          <w:tcPr>
            <w:tcW w:w="674" w:type="dxa"/>
            <w:vAlign w:val="center"/>
          </w:tcPr>
          <w:p w14:paraId="00D7A78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0.010451</w:t>
            </w:r>
          </w:p>
        </w:tc>
        <w:tc>
          <w:tcPr>
            <w:tcW w:w="585" w:type="dxa"/>
            <w:vAlign w:val="center"/>
          </w:tcPr>
          <w:p w14:paraId="6C436FF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5.088839</w:t>
            </w:r>
          </w:p>
        </w:tc>
        <w:tc>
          <w:tcPr>
            <w:tcW w:w="721" w:type="dxa"/>
            <w:vAlign w:val="center"/>
          </w:tcPr>
          <w:p w14:paraId="722B22D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7BE525E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1.132288</w:t>
            </w:r>
          </w:p>
        </w:tc>
      </w:tr>
      <w:tr w:rsidR="00146D68" w:rsidRPr="00C862C2" w14:paraId="2719261B" w14:textId="77777777" w:rsidTr="00146D68">
        <w:trPr>
          <w:trHeight w:val="103"/>
          <w:jc w:val="center"/>
        </w:trPr>
        <w:tc>
          <w:tcPr>
            <w:tcW w:w="704" w:type="dxa"/>
            <w:vAlign w:val="center"/>
          </w:tcPr>
          <w:p w14:paraId="2A1E7C7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BIG</w:t>
            </w:r>
          </w:p>
        </w:tc>
        <w:tc>
          <w:tcPr>
            <w:tcW w:w="674" w:type="dxa"/>
            <w:vAlign w:val="center"/>
          </w:tcPr>
          <w:p w14:paraId="6E99485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0.029044</w:t>
            </w:r>
          </w:p>
        </w:tc>
        <w:tc>
          <w:tcPr>
            <w:tcW w:w="585" w:type="dxa"/>
            <w:vAlign w:val="center"/>
          </w:tcPr>
          <w:p w14:paraId="0979993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11.23353</w:t>
            </w:r>
          </w:p>
        </w:tc>
        <w:tc>
          <w:tcPr>
            <w:tcW w:w="721" w:type="dxa"/>
            <w:vAlign w:val="center"/>
          </w:tcPr>
          <w:p w14:paraId="18F7717B"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67C92C6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1.068940</w:t>
            </w:r>
          </w:p>
        </w:tc>
        <w:tc>
          <w:tcPr>
            <w:tcW w:w="674" w:type="dxa"/>
            <w:vAlign w:val="center"/>
          </w:tcPr>
          <w:p w14:paraId="2BB8AE5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0.029036</w:t>
            </w:r>
          </w:p>
        </w:tc>
        <w:tc>
          <w:tcPr>
            <w:tcW w:w="585" w:type="dxa"/>
            <w:vAlign w:val="center"/>
          </w:tcPr>
          <w:p w14:paraId="67058B1C"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11.22240</w:t>
            </w:r>
          </w:p>
        </w:tc>
        <w:tc>
          <w:tcPr>
            <w:tcW w:w="721" w:type="dxa"/>
            <w:vAlign w:val="center"/>
          </w:tcPr>
          <w:p w14:paraId="5AB697E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29EE2D8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1.070228</w:t>
            </w:r>
          </w:p>
        </w:tc>
        <w:tc>
          <w:tcPr>
            <w:tcW w:w="674" w:type="dxa"/>
            <w:vAlign w:val="center"/>
          </w:tcPr>
          <w:p w14:paraId="31550E6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0.028893</w:t>
            </w:r>
          </w:p>
        </w:tc>
        <w:tc>
          <w:tcPr>
            <w:tcW w:w="585" w:type="dxa"/>
            <w:vAlign w:val="center"/>
          </w:tcPr>
          <w:p w14:paraId="27172D8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11.17344</w:t>
            </w:r>
          </w:p>
        </w:tc>
        <w:tc>
          <w:tcPr>
            <w:tcW w:w="721" w:type="dxa"/>
            <w:vAlign w:val="center"/>
          </w:tcPr>
          <w:p w14:paraId="3F3AB49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w:t>
            </w:r>
          </w:p>
        </w:tc>
        <w:tc>
          <w:tcPr>
            <w:tcW w:w="944" w:type="dxa"/>
            <w:vAlign w:val="center"/>
          </w:tcPr>
          <w:p w14:paraId="4A2FCEB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1.068891</w:t>
            </w:r>
          </w:p>
        </w:tc>
      </w:tr>
      <w:tr w:rsidR="00146D68" w:rsidRPr="00C862C2" w14:paraId="7E71965A" w14:textId="77777777" w:rsidTr="00146D68">
        <w:trPr>
          <w:trHeight w:val="70"/>
          <w:jc w:val="center"/>
        </w:trPr>
        <w:tc>
          <w:tcPr>
            <w:tcW w:w="704" w:type="dxa"/>
            <w:vAlign w:val="center"/>
          </w:tcPr>
          <w:p w14:paraId="0AD7B06E"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shd w:val="clear" w:color="auto" w:fill="FFFFFF"/>
              </w:rPr>
              <w:t>Adjusted R-squared</w:t>
            </w:r>
          </w:p>
        </w:tc>
        <w:tc>
          <w:tcPr>
            <w:tcW w:w="2925" w:type="dxa"/>
            <w:gridSpan w:val="4"/>
            <w:vAlign w:val="center"/>
          </w:tcPr>
          <w:p w14:paraId="0F981E8A"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0.303251</w:t>
            </w:r>
          </w:p>
        </w:tc>
        <w:tc>
          <w:tcPr>
            <w:tcW w:w="2925" w:type="dxa"/>
            <w:gridSpan w:val="4"/>
            <w:tcBorders>
              <w:right w:val="single" w:sz="4" w:space="0" w:color="auto"/>
            </w:tcBorders>
            <w:vAlign w:val="center"/>
          </w:tcPr>
          <w:p w14:paraId="59D85EE9"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0.314281</w:t>
            </w:r>
          </w:p>
        </w:tc>
        <w:tc>
          <w:tcPr>
            <w:tcW w:w="2925" w:type="dxa"/>
            <w:gridSpan w:val="4"/>
            <w:tcBorders>
              <w:right w:val="single" w:sz="4" w:space="0" w:color="auto"/>
            </w:tcBorders>
            <w:vAlign w:val="center"/>
          </w:tcPr>
          <w:p w14:paraId="5CBDF51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0.313510</w:t>
            </w:r>
          </w:p>
        </w:tc>
      </w:tr>
      <w:tr w:rsidR="00146D68" w:rsidRPr="00C862C2" w14:paraId="7424543B" w14:textId="77777777" w:rsidTr="00146D68">
        <w:trPr>
          <w:trHeight w:val="70"/>
          <w:jc w:val="center"/>
        </w:trPr>
        <w:tc>
          <w:tcPr>
            <w:tcW w:w="704" w:type="dxa"/>
            <w:vAlign w:val="center"/>
          </w:tcPr>
          <w:p w14:paraId="66A1F0B5"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shd w:val="clear" w:color="auto" w:fill="FFFFFF"/>
              </w:rPr>
              <w:t>F-statistic</w:t>
            </w:r>
          </w:p>
        </w:tc>
        <w:tc>
          <w:tcPr>
            <w:tcW w:w="2925" w:type="dxa"/>
            <w:gridSpan w:val="4"/>
            <w:vAlign w:val="center"/>
          </w:tcPr>
          <w:p w14:paraId="6D9C2CE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3.077460</w:t>
            </w:r>
          </w:p>
        </w:tc>
        <w:tc>
          <w:tcPr>
            <w:tcW w:w="2925" w:type="dxa"/>
            <w:gridSpan w:val="4"/>
            <w:tcBorders>
              <w:right w:val="single" w:sz="4" w:space="0" w:color="auto"/>
            </w:tcBorders>
            <w:vAlign w:val="center"/>
          </w:tcPr>
          <w:p w14:paraId="1B72F83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3.090231</w:t>
            </w:r>
          </w:p>
        </w:tc>
        <w:tc>
          <w:tcPr>
            <w:tcW w:w="2925" w:type="dxa"/>
            <w:gridSpan w:val="4"/>
            <w:tcBorders>
              <w:right w:val="single" w:sz="4" w:space="0" w:color="auto"/>
            </w:tcBorders>
            <w:vAlign w:val="center"/>
          </w:tcPr>
          <w:p w14:paraId="24A8A08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3.080660</w:t>
            </w:r>
          </w:p>
        </w:tc>
      </w:tr>
      <w:tr w:rsidR="00146D68" w:rsidRPr="00C862C2" w14:paraId="279E7CA3" w14:textId="77777777" w:rsidTr="00146D68">
        <w:trPr>
          <w:trHeight w:val="70"/>
          <w:jc w:val="center"/>
        </w:trPr>
        <w:tc>
          <w:tcPr>
            <w:tcW w:w="704" w:type="dxa"/>
            <w:vAlign w:val="center"/>
          </w:tcPr>
          <w:p w14:paraId="30C043CF"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shd w:val="clear" w:color="auto" w:fill="FFFFFF"/>
              </w:rPr>
              <w:t>Significance</w:t>
            </w:r>
          </w:p>
        </w:tc>
        <w:tc>
          <w:tcPr>
            <w:tcW w:w="2925" w:type="dxa"/>
            <w:gridSpan w:val="4"/>
            <w:vAlign w:val="center"/>
          </w:tcPr>
          <w:p w14:paraId="5AF6371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0.000000</w:t>
            </w:r>
          </w:p>
        </w:tc>
        <w:tc>
          <w:tcPr>
            <w:tcW w:w="2925" w:type="dxa"/>
            <w:gridSpan w:val="4"/>
            <w:tcBorders>
              <w:right w:val="single" w:sz="4" w:space="0" w:color="auto"/>
            </w:tcBorders>
            <w:vAlign w:val="center"/>
          </w:tcPr>
          <w:p w14:paraId="32AC2D7F"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0.000000</w:t>
            </w:r>
          </w:p>
        </w:tc>
        <w:tc>
          <w:tcPr>
            <w:tcW w:w="2925" w:type="dxa"/>
            <w:gridSpan w:val="4"/>
            <w:tcBorders>
              <w:right w:val="single" w:sz="4" w:space="0" w:color="auto"/>
            </w:tcBorders>
            <w:vAlign w:val="center"/>
          </w:tcPr>
          <w:p w14:paraId="125A2733"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0.000000</w:t>
            </w:r>
          </w:p>
        </w:tc>
      </w:tr>
      <w:tr w:rsidR="00146D68" w:rsidRPr="00C862C2" w14:paraId="3509C1E2" w14:textId="77777777" w:rsidTr="00146D68">
        <w:trPr>
          <w:trHeight w:val="70"/>
          <w:jc w:val="center"/>
        </w:trPr>
        <w:tc>
          <w:tcPr>
            <w:tcW w:w="704" w:type="dxa"/>
            <w:vAlign w:val="center"/>
          </w:tcPr>
          <w:p w14:paraId="06203A08"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shd w:val="clear" w:color="auto" w:fill="FFFFFF"/>
              </w:rPr>
              <w:t>Durbin-Watson</w:t>
            </w:r>
          </w:p>
        </w:tc>
        <w:tc>
          <w:tcPr>
            <w:tcW w:w="2925" w:type="dxa"/>
            <w:gridSpan w:val="4"/>
            <w:vAlign w:val="center"/>
          </w:tcPr>
          <w:p w14:paraId="1D5EFCF4"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1.794992</w:t>
            </w:r>
          </w:p>
        </w:tc>
        <w:tc>
          <w:tcPr>
            <w:tcW w:w="2925" w:type="dxa"/>
            <w:gridSpan w:val="4"/>
            <w:tcBorders>
              <w:right w:val="single" w:sz="4" w:space="0" w:color="auto"/>
            </w:tcBorders>
            <w:vAlign w:val="center"/>
          </w:tcPr>
          <w:p w14:paraId="601AF162"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1.799121</w:t>
            </w:r>
          </w:p>
        </w:tc>
        <w:tc>
          <w:tcPr>
            <w:tcW w:w="2925" w:type="dxa"/>
            <w:gridSpan w:val="4"/>
            <w:tcBorders>
              <w:right w:val="single" w:sz="4" w:space="0" w:color="auto"/>
            </w:tcBorders>
            <w:vAlign w:val="center"/>
          </w:tcPr>
          <w:p w14:paraId="04AB2727"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1.799842</w:t>
            </w:r>
          </w:p>
        </w:tc>
      </w:tr>
      <w:tr w:rsidR="00146D68" w:rsidRPr="00C862C2" w14:paraId="0E8C6BBA" w14:textId="77777777" w:rsidTr="00146D68">
        <w:trPr>
          <w:trHeight w:val="70"/>
          <w:jc w:val="center"/>
        </w:trPr>
        <w:tc>
          <w:tcPr>
            <w:tcW w:w="704" w:type="dxa"/>
            <w:shd w:val="clear" w:color="auto" w:fill="FFFFFF" w:themeFill="background1"/>
            <w:vAlign w:val="center"/>
          </w:tcPr>
          <w:p w14:paraId="525FD637"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shd w:val="clear" w:color="auto" w:fill="FFFFFF"/>
              </w:rPr>
              <w:t>Breusch-Pagan Test</w:t>
            </w:r>
          </w:p>
        </w:tc>
        <w:tc>
          <w:tcPr>
            <w:tcW w:w="2925" w:type="dxa"/>
            <w:gridSpan w:val="4"/>
            <w:shd w:val="clear" w:color="auto" w:fill="FFFFFF" w:themeFill="background1"/>
            <w:vAlign w:val="center"/>
          </w:tcPr>
          <w:p w14:paraId="41A9D106"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8.681678</w:t>
            </w:r>
          </w:p>
        </w:tc>
        <w:tc>
          <w:tcPr>
            <w:tcW w:w="2925" w:type="dxa"/>
            <w:gridSpan w:val="4"/>
            <w:tcBorders>
              <w:right w:val="single" w:sz="4" w:space="0" w:color="auto"/>
            </w:tcBorders>
            <w:shd w:val="clear" w:color="auto" w:fill="FFFFFF" w:themeFill="background1"/>
            <w:vAlign w:val="center"/>
          </w:tcPr>
          <w:p w14:paraId="2AC4B33D"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8.075130</w:t>
            </w:r>
          </w:p>
        </w:tc>
        <w:tc>
          <w:tcPr>
            <w:tcW w:w="2925" w:type="dxa"/>
            <w:gridSpan w:val="4"/>
            <w:tcBorders>
              <w:right w:val="single" w:sz="4" w:space="0" w:color="auto"/>
            </w:tcBorders>
            <w:shd w:val="clear" w:color="auto" w:fill="FFFFFF" w:themeFill="background1"/>
            <w:vAlign w:val="center"/>
          </w:tcPr>
          <w:p w14:paraId="571CFFC1"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5.829276</w:t>
            </w:r>
          </w:p>
        </w:tc>
      </w:tr>
      <w:tr w:rsidR="00146D68" w:rsidRPr="00C862C2" w14:paraId="330EDA4E" w14:textId="77777777" w:rsidTr="00146D68">
        <w:trPr>
          <w:trHeight w:val="70"/>
          <w:jc w:val="center"/>
        </w:trPr>
        <w:tc>
          <w:tcPr>
            <w:tcW w:w="704" w:type="dxa"/>
            <w:shd w:val="clear" w:color="auto" w:fill="FFFFFF" w:themeFill="background1"/>
            <w:vAlign w:val="center"/>
          </w:tcPr>
          <w:p w14:paraId="3C0D8587" w14:textId="77777777" w:rsidR="00146D68" w:rsidRPr="00C862C2" w:rsidRDefault="00146D68" w:rsidP="00C862C2">
            <w:pPr>
              <w:spacing w:after="0" w:line="240" w:lineRule="auto"/>
              <w:jc w:val="center"/>
              <w:rPr>
                <w:rFonts w:ascii="Times New Roman" w:hAnsi="Times New Roman" w:cs="Times New Roman"/>
                <w:rtl/>
              </w:rPr>
            </w:pPr>
            <w:r w:rsidRPr="00C862C2">
              <w:rPr>
                <w:rFonts w:ascii="Times New Roman" w:hAnsi="Times New Roman" w:cs="Times New Roman"/>
                <w:shd w:val="clear" w:color="auto" w:fill="FFFFFF"/>
              </w:rPr>
              <w:t>Significance Level</w:t>
            </w:r>
          </w:p>
        </w:tc>
        <w:tc>
          <w:tcPr>
            <w:tcW w:w="2925" w:type="dxa"/>
            <w:gridSpan w:val="4"/>
            <w:shd w:val="clear" w:color="auto" w:fill="FFFFFF" w:themeFill="background1"/>
            <w:vAlign w:val="center"/>
          </w:tcPr>
          <w:p w14:paraId="6DC86667"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0.2763</w:t>
            </w:r>
          </w:p>
        </w:tc>
        <w:tc>
          <w:tcPr>
            <w:tcW w:w="2925" w:type="dxa"/>
            <w:gridSpan w:val="4"/>
            <w:tcBorders>
              <w:right w:val="single" w:sz="4" w:space="0" w:color="auto"/>
            </w:tcBorders>
            <w:shd w:val="clear" w:color="auto" w:fill="FFFFFF" w:themeFill="background1"/>
            <w:vAlign w:val="center"/>
          </w:tcPr>
          <w:p w14:paraId="3C0D7FDE"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0.3260</w:t>
            </w:r>
          </w:p>
        </w:tc>
        <w:tc>
          <w:tcPr>
            <w:tcW w:w="2925" w:type="dxa"/>
            <w:gridSpan w:val="4"/>
            <w:tcBorders>
              <w:right w:val="single" w:sz="4" w:space="0" w:color="auto"/>
            </w:tcBorders>
            <w:shd w:val="clear" w:color="auto" w:fill="FFFFFF" w:themeFill="background1"/>
            <w:vAlign w:val="center"/>
          </w:tcPr>
          <w:p w14:paraId="6CEF4AA0" w14:textId="77777777" w:rsidR="00146D68" w:rsidRPr="00C862C2" w:rsidRDefault="00146D68" w:rsidP="00C862C2">
            <w:pPr>
              <w:spacing w:after="0" w:line="240" w:lineRule="auto"/>
              <w:jc w:val="center"/>
              <w:rPr>
                <w:rFonts w:ascii="Times New Roman" w:hAnsi="Times New Roman" w:cs="Times New Roman"/>
              </w:rPr>
            </w:pPr>
            <w:r w:rsidRPr="00C862C2">
              <w:rPr>
                <w:rFonts w:ascii="Times New Roman" w:hAnsi="Times New Roman" w:cs="Times New Roman"/>
              </w:rPr>
              <w:t>0.5598</w:t>
            </w:r>
          </w:p>
        </w:tc>
      </w:tr>
    </w:tbl>
    <w:p w14:paraId="5BD9B7AE" w14:textId="77777777" w:rsidR="00146D68" w:rsidRPr="00C862C2" w:rsidRDefault="00146D68" w:rsidP="00C862C2">
      <w:pPr>
        <w:spacing w:after="0" w:line="240" w:lineRule="auto"/>
        <w:jc w:val="both"/>
        <w:rPr>
          <w:rFonts w:ascii="Times New Roman" w:eastAsia="Times New Roman" w:hAnsi="Times New Roman" w:cs="Times New Roman"/>
        </w:rPr>
      </w:pPr>
    </w:p>
    <w:p w14:paraId="5E06DC92" w14:textId="707066F5" w:rsidR="00E46824" w:rsidRPr="00C862C2" w:rsidRDefault="00E46824" w:rsidP="00C862C2">
      <w:pPr>
        <w:pStyle w:val="NormalWeb"/>
        <w:spacing w:before="0" w:beforeAutospacing="0" w:after="0" w:afterAutospacing="0"/>
        <w:jc w:val="both"/>
        <w:rPr>
          <w:sz w:val="22"/>
          <w:szCs w:val="22"/>
        </w:rPr>
      </w:pPr>
      <w:r w:rsidRPr="00C862C2">
        <w:rPr>
          <w:sz w:val="22"/>
          <w:szCs w:val="22"/>
        </w:rPr>
        <w:t>The results indicate that the coefficients for the maturity and decline stages in Models 2 and 3 are statistically significant at the 5% level, confirming a significant relationship between corporate life cycle stages and environmental disclosure. The maturity stage shows a positive coefficient, while the decline stage exhibits a negative coefficient, suggesting that firms increase environmental disclosure during maturity and reduce it during decline, supporting Hypothesis 2. The magnitude of the effect is stronger in the decline stage.</w:t>
      </w:r>
    </w:p>
    <w:p w14:paraId="4848C573" w14:textId="77777777" w:rsidR="00E46824" w:rsidRPr="00C862C2" w:rsidRDefault="00E46824" w:rsidP="00C862C2">
      <w:pPr>
        <w:pStyle w:val="NormalWeb"/>
        <w:spacing w:before="0" w:beforeAutospacing="0" w:after="0" w:afterAutospacing="0"/>
        <w:jc w:val="both"/>
        <w:rPr>
          <w:sz w:val="22"/>
          <w:szCs w:val="22"/>
        </w:rPr>
      </w:pPr>
      <w:r w:rsidRPr="00C862C2">
        <w:rPr>
          <w:sz w:val="22"/>
          <w:szCs w:val="22"/>
        </w:rPr>
        <w:t>Regarding the control variables, firm size and operating cash flow are negatively associated with environmental disclosure, whereas financial leverage, profitability, sales growth, and auditor type show positive relationships.</w:t>
      </w:r>
    </w:p>
    <w:p w14:paraId="2ACBA2A6" w14:textId="77777777" w:rsidR="00D56A97" w:rsidRPr="00C862C2" w:rsidRDefault="00D56A97" w:rsidP="00C862C2">
      <w:pPr>
        <w:spacing w:after="0" w:line="240" w:lineRule="auto"/>
        <w:jc w:val="both"/>
        <w:rPr>
          <w:rFonts w:ascii="Times New Roman" w:eastAsia="Times New Roman" w:hAnsi="Times New Roman" w:cs="Times New Roman"/>
        </w:rPr>
      </w:pPr>
    </w:p>
    <w:p w14:paraId="612B73EC" w14:textId="77777777" w:rsidR="008F7776" w:rsidRPr="00C862C2" w:rsidRDefault="00545236" w:rsidP="00C862C2">
      <w:pPr>
        <w:spacing w:after="0" w:line="240" w:lineRule="auto"/>
        <w:jc w:val="both"/>
        <w:outlineLvl w:val="2"/>
        <w:rPr>
          <w:rFonts w:ascii="Times New Roman" w:eastAsia="Times New Roman" w:hAnsi="Times New Roman" w:cs="Times New Roman"/>
          <w:b/>
          <w:bCs/>
          <w:rtl/>
        </w:rPr>
      </w:pPr>
      <w:r w:rsidRPr="00C862C2">
        <w:rPr>
          <w:rFonts w:ascii="Times New Roman" w:eastAsia="Times New Roman" w:hAnsi="Times New Roman" w:cs="Times New Roman"/>
          <w:b/>
          <w:bCs/>
        </w:rPr>
        <w:t>6. Conclusion</w:t>
      </w:r>
      <w:r w:rsidR="008F7776" w:rsidRPr="00C862C2">
        <w:rPr>
          <w:rFonts w:ascii="Times New Roman" w:eastAsia="Times New Roman" w:hAnsi="Times New Roman" w:cs="Times New Roman"/>
          <w:b/>
          <w:bCs/>
        </w:rPr>
        <w:t xml:space="preserve">, </w:t>
      </w:r>
      <w:r w:rsidR="001B23DD" w:rsidRPr="00C862C2">
        <w:rPr>
          <w:rFonts w:ascii="Times New Roman" w:eastAsia="Times New Roman" w:hAnsi="Times New Roman" w:cs="Times New Roman"/>
          <w:b/>
          <w:bCs/>
        </w:rPr>
        <w:t>i</w:t>
      </w:r>
      <w:r w:rsidR="008F7776" w:rsidRPr="00C862C2">
        <w:rPr>
          <w:rFonts w:ascii="Times New Roman" w:eastAsia="Times New Roman" w:hAnsi="Times New Roman" w:cs="Times New Roman"/>
          <w:b/>
          <w:bCs/>
        </w:rPr>
        <w:t xml:space="preserve">mplication and </w:t>
      </w:r>
      <w:r w:rsidR="001B23DD" w:rsidRPr="00C862C2">
        <w:rPr>
          <w:rFonts w:ascii="Times New Roman" w:eastAsia="Times New Roman" w:hAnsi="Times New Roman" w:cs="Times New Roman"/>
          <w:b/>
          <w:bCs/>
        </w:rPr>
        <w:t>l</w:t>
      </w:r>
      <w:r w:rsidR="008F7776" w:rsidRPr="00C862C2">
        <w:rPr>
          <w:rFonts w:ascii="Times New Roman" w:eastAsia="Times New Roman" w:hAnsi="Times New Roman" w:cs="Times New Roman"/>
          <w:b/>
          <w:bCs/>
        </w:rPr>
        <w:t>imitation</w:t>
      </w:r>
    </w:p>
    <w:p w14:paraId="5B0B18B9" w14:textId="77777777" w:rsidR="00D27E85" w:rsidRPr="00C862C2" w:rsidRDefault="008F7776" w:rsidP="00C862C2">
      <w:pPr>
        <w:pStyle w:val="NormalWeb"/>
        <w:spacing w:before="0" w:beforeAutospacing="0" w:after="0" w:afterAutospacing="0"/>
        <w:jc w:val="both"/>
        <w:rPr>
          <w:sz w:val="22"/>
          <w:szCs w:val="22"/>
        </w:rPr>
      </w:pPr>
      <w:r w:rsidRPr="00C862C2">
        <w:rPr>
          <w:sz w:val="22"/>
          <w:szCs w:val="22"/>
        </w:rPr>
        <w:t xml:space="preserve">This study examined variations in accounting conservatism and environmental disclosure across corporate life cycle stages. The findings reveal that accounting conservatism is </w:t>
      </w:r>
      <w:r w:rsidRPr="00C862C2">
        <w:rPr>
          <w:rStyle w:val="Strong"/>
          <w:b w:val="0"/>
          <w:bCs w:val="0"/>
          <w:sz w:val="22"/>
          <w:szCs w:val="22"/>
        </w:rPr>
        <w:t>negative in both the growth and decline stages</w:t>
      </w:r>
      <w:r w:rsidRPr="00C862C2">
        <w:rPr>
          <w:b/>
          <w:bCs/>
          <w:sz w:val="22"/>
          <w:szCs w:val="22"/>
        </w:rPr>
        <w:t xml:space="preserve">, </w:t>
      </w:r>
      <w:r w:rsidRPr="00C862C2">
        <w:rPr>
          <w:sz w:val="22"/>
          <w:szCs w:val="22"/>
        </w:rPr>
        <w:t xml:space="preserve">while it </w:t>
      </w:r>
      <w:proofErr w:type="spellStart"/>
      <w:r w:rsidRPr="00C862C2">
        <w:rPr>
          <w:sz w:val="22"/>
          <w:szCs w:val="22"/>
        </w:rPr>
        <w:t>becomes</w:t>
      </w:r>
      <w:r w:rsidRPr="00C862C2">
        <w:rPr>
          <w:rStyle w:val="Strong"/>
          <w:b w:val="0"/>
          <w:bCs w:val="0"/>
          <w:sz w:val="22"/>
          <w:szCs w:val="22"/>
        </w:rPr>
        <w:t>positive</w:t>
      </w:r>
      <w:proofErr w:type="spellEnd"/>
      <w:r w:rsidRPr="00C862C2">
        <w:rPr>
          <w:rStyle w:val="Strong"/>
          <w:b w:val="0"/>
          <w:bCs w:val="0"/>
          <w:sz w:val="22"/>
          <w:szCs w:val="22"/>
        </w:rPr>
        <w:t xml:space="preserve"> in the maturity stage</w:t>
      </w:r>
      <w:r w:rsidRPr="00C862C2">
        <w:rPr>
          <w:sz w:val="22"/>
          <w:szCs w:val="22"/>
        </w:rPr>
        <w:t xml:space="preserve">. Growth-stage firms tend to prioritize capital acquisition, market expansion, and strong financial performance, leading to a lower tendency toward conservative reporting. Limited managerial awareness regarding the benefits of conservatism further reinforces this behavior. In contrast, mature firms, supported by operational stability, sustainable cash flows, professional management, and a stronger need to maintain market reputation, adopt more conservative financial reporting. In this stage, conservatism helps mitigate risk, prevent financial overstatement, and address investors' litigation concerns. However, in the decline stage, financial constraints, competitive pressure, and incentives to attract external funding reduce the tendency toward conservative reporting and encourage firms to present an improved financial position. Regarding environmental disclosure, the results indicate that </w:t>
      </w:r>
      <w:proofErr w:type="spellStart"/>
      <w:r w:rsidRPr="00C862C2">
        <w:rPr>
          <w:sz w:val="22"/>
          <w:szCs w:val="22"/>
        </w:rPr>
        <w:t>it</w:t>
      </w:r>
      <w:r w:rsidRPr="00C862C2">
        <w:rPr>
          <w:rStyle w:val="Strong"/>
          <w:b w:val="0"/>
          <w:bCs w:val="0"/>
          <w:sz w:val="22"/>
          <w:szCs w:val="22"/>
        </w:rPr>
        <w:t>increases</w:t>
      </w:r>
      <w:proofErr w:type="spellEnd"/>
      <w:r w:rsidRPr="00C862C2">
        <w:rPr>
          <w:rStyle w:val="Strong"/>
          <w:b w:val="0"/>
          <w:bCs w:val="0"/>
          <w:sz w:val="22"/>
          <w:szCs w:val="22"/>
        </w:rPr>
        <w:t xml:space="preserve"> during the maturity stage and decreases during the decline stage</w:t>
      </w:r>
      <w:r w:rsidRPr="00C862C2">
        <w:rPr>
          <w:b/>
          <w:bCs/>
          <w:sz w:val="22"/>
          <w:szCs w:val="22"/>
        </w:rPr>
        <w:t xml:space="preserve">. </w:t>
      </w:r>
      <w:r w:rsidRPr="00C862C2">
        <w:rPr>
          <w:rStyle w:val="Strong"/>
          <w:b w:val="0"/>
          <w:bCs w:val="0"/>
          <w:sz w:val="22"/>
          <w:szCs w:val="22"/>
        </w:rPr>
        <w:t xml:space="preserve">Environmental disclosure may generate both economic costs and benefits for firms. Some firms aim to capitalize on its advantages, while others attempt to minimize the associated </w:t>
      </w:r>
      <w:proofErr w:type="spellStart"/>
      <w:proofErr w:type="gramStart"/>
      <w:r w:rsidRPr="00C862C2">
        <w:rPr>
          <w:rStyle w:val="Strong"/>
          <w:b w:val="0"/>
          <w:bCs w:val="0"/>
          <w:sz w:val="22"/>
          <w:szCs w:val="22"/>
        </w:rPr>
        <w:t>costs.</w:t>
      </w:r>
      <w:r w:rsidRPr="00C862C2">
        <w:rPr>
          <w:sz w:val="22"/>
          <w:szCs w:val="22"/>
        </w:rPr>
        <w:t>Dueto</w:t>
      </w:r>
      <w:r w:rsidRPr="00C862C2">
        <w:rPr>
          <w:rStyle w:val="Strong"/>
          <w:b w:val="0"/>
          <w:bCs w:val="0"/>
          <w:sz w:val="22"/>
          <w:szCs w:val="22"/>
        </w:rPr>
        <w:t>high</w:t>
      </w:r>
      <w:proofErr w:type="spellEnd"/>
      <w:proofErr w:type="gramEnd"/>
      <w:r w:rsidRPr="00C862C2">
        <w:rPr>
          <w:rStyle w:val="Strong"/>
          <w:b w:val="0"/>
          <w:bCs w:val="0"/>
          <w:sz w:val="22"/>
          <w:szCs w:val="22"/>
        </w:rPr>
        <w:t xml:space="preserve"> costs of data collection and verification, as well as concerns about revealing sensitive information, some firms avoid environmental reporting</w:t>
      </w:r>
      <w:r w:rsidRPr="00C862C2">
        <w:rPr>
          <w:b/>
          <w:bCs/>
          <w:sz w:val="22"/>
          <w:szCs w:val="22"/>
        </w:rPr>
        <w:t xml:space="preserve">, </w:t>
      </w:r>
      <w:proofErr w:type="spellStart"/>
      <w:r w:rsidRPr="00C862C2">
        <w:rPr>
          <w:sz w:val="22"/>
          <w:szCs w:val="22"/>
        </w:rPr>
        <w:t>whereas</w:t>
      </w:r>
      <w:r w:rsidRPr="00C862C2">
        <w:rPr>
          <w:rStyle w:val="Strong"/>
          <w:b w:val="0"/>
          <w:bCs w:val="0"/>
          <w:sz w:val="22"/>
          <w:szCs w:val="22"/>
        </w:rPr>
        <w:t>other</w:t>
      </w:r>
      <w:proofErr w:type="spellEnd"/>
      <w:r w:rsidRPr="00C862C2">
        <w:rPr>
          <w:rStyle w:val="Strong"/>
          <w:b w:val="0"/>
          <w:bCs w:val="0"/>
          <w:sz w:val="22"/>
          <w:szCs w:val="22"/>
        </w:rPr>
        <w:t xml:space="preserve"> firms are encouraged to increase disclosure due to potential benefits, including cheaper access to capital, improved reputation, and lower regulatory risk</w:t>
      </w:r>
      <w:r w:rsidRPr="00C862C2">
        <w:rPr>
          <w:sz w:val="22"/>
          <w:szCs w:val="22"/>
        </w:rPr>
        <w:t>. Mature firms, benefiting from resource stability and stronger market competitiveness, employ environmental disclosure as a strategic tool to enhance legitimacy, reduce information asymmetry, and strengthen stakeholder trust. In contrast, firms in the decline stage face financial and credibility constraints, which limit their willingness to invest in or report environmental activities. These findings align with life cycle theory, agency theory, and legitimacy theory.</w:t>
      </w:r>
    </w:p>
    <w:p w14:paraId="53C051F0" w14:textId="77777777" w:rsidR="008F7776" w:rsidRPr="00C862C2" w:rsidRDefault="008F7776" w:rsidP="00C862C2">
      <w:pPr>
        <w:pStyle w:val="NormalWeb"/>
        <w:spacing w:before="0" w:beforeAutospacing="0" w:after="0" w:afterAutospacing="0"/>
        <w:jc w:val="both"/>
        <w:rPr>
          <w:sz w:val="22"/>
          <w:szCs w:val="22"/>
        </w:rPr>
      </w:pPr>
      <w:r w:rsidRPr="00C862C2">
        <w:rPr>
          <w:sz w:val="22"/>
          <w:szCs w:val="22"/>
        </w:rPr>
        <w:t>This study contributes to the literature by integrating accounting conservatism and environmental disclosure within the corporate life cycle framework, demonstrating that corporate reporting behavior is dynamic and evolves according to organizational development stages. The results support the argument that motivations related to legitimacy enhancement and agency cost reduction become more pronounced during the maturity stage, while they diminish in the decline stage due to financial constraints. The findings reinforce the notion that firms strategically adjust both financial conservatism and environmental transparency in response to shifting organizational priorities across life cycle stages.</w:t>
      </w:r>
    </w:p>
    <w:p w14:paraId="14145123" w14:textId="77777777" w:rsidR="008F7776" w:rsidRPr="00C862C2" w:rsidRDefault="008F7776" w:rsidP="00C862C2">
      <w:pPr>
        <w:pStyle w:val="NormalWeb"/>
        <w:spacing w:before="0" w:beforeAutospacing="0" w:after="0" w:afterAutospacing="0"/>
        <w:jc w:val="both"/>
        <w:rPr>
          <w:sz w:val="22"/>
          <w:szCs w:val="22"/>
        </w:rPr>
      </w:pPr>
      <w:r w:rsidRPr="00C862C2">
        <w:rPr>
          <w:sz w:val="22"/>
          <w:szCs w:val="22"/>
        </w:rPr>
        <w:t xml:space="preserve">The findings provide important implications for various stakeholders. </w:t>
      </w:r>
      <w:r w:rsidRPr="00C862C2">
        <w:rPr>
          <w:rStyle w:val="Strong"/>
          <w:b w:val="0"/>
          <w:bCs w:val="0"/>
          <w:sz w:val="22"/>
          <w:szCs w:val="22"/>
        </w:rPr>
        <w:t xml:space="preserve">Corporate managers are advised to adopt differentiated reporting strategies according to their life cycle stage; particularly, firms in the growth stage can benefit from more transparent environmental disclosure to reduce external financing costs and enhance </w:t>
      </w:r>
      <w:proofErr w:type="spellStart"/>
      <w:r w:rsidRPr="00C862C2">
        <w:rPr>
          <w:rStyle w:val="Strong"/>
          <w:b w:val="0"/>
          <w:bCs w:val="0"/>
          <w:sz w:val="22"/>
          <w:szCs w:val="22"/>
        </w:rPr>
        <w:t>competitiveness.</w:t>
      </w:r>
      <w:r w:rsidRPr="00C862C2">
        <w:rPr>
          <w:sz w:val="22"/>
          <w:szCs w:val="22"/>
        </w:rPr>
        <w:t>Furthermore</w:t>
      </w:r>
      <w:proofErr w:type="spellEnd"/>
      <w:r w:rsidRPr="00C862C2">
        <w:rPr>
          <w:b/>
          <w:bCs/>
          <w:sz w:val="22"/>
          <w:szCs w:val="22"/>
        </w:rPr>
        <w:t xml:space="preserve">, </w:t>
      </w:r>
      <w:r w:rsidRPr="00C862C2">
        <w:rPr>
          <w:rStyle w:val="Strong"/>
          <w:b w:val="0"/>
          <w:bCs w:val="0"/>
          <w:sz w:val="22"/>
          <w:szCs w:val="22"/>
        </w:rPr>
        <w:t xml:space="preserve">higher environmental disclosure can reduce information asymmetry between </w:t>
      </w:r>
      <w:proofErr w:type="spellStart"/>
      <w:r w:rsidRPr="00C862C2">
        <w:rPr>
          <w:rStyle w:val="Strong"/>
          <w:b w:val="0"/>
          <w:bCs w:val="0"/>
          <w:sz w:val="22"/>
          <w:szCs w:val="22"/>
        </w:rPr>
        <w:t>managersand</w:t>
      </w:r>
      <w:proofErr w:type="spellEnd"/>
      <w:r w:rsidRPr="00C862C2">
        <w:rPr>
          <w:rStyle w:val="Strong"/>
          <w:b w:val="0"/>
          <w:bCs w:val="0"/>
          <w:sz w:val="22"/>
          <w:szCs w:val="22"/>
        </w:rPr>
        <w:t xml:space="preserve"> shareholders, thereby lowering agency </w:t>
      </w:r>
      <w:proofErr w:type="spellStart"/>
      <w:r w:rsidRPr="00C862C2">
        <w:rPr>
          <w:rStyle w:val="Strong"/>
          <w:b w:val="0"/>
          <w:bCs w:val="0"/>
          <w:sz w:val="22"/>
          <w:szCs w:val="22"/>
        </w:rPr>
        <w:t>costs.</w:t>
      </w:r>
      <w:r w:rsidRPr="00C862C2">
        <w:rPr>
          <w:sz w:val="22"/>
          <w:szCs w:val="22"/>
        </w:rPr>
        <w:t>Regulatory</w:t>
      </w:r>
      <w:proofErr w:type="spellEnd"/>
      <w:r w:rsidRPr="00C862C2">
        <w:rPr>
          <w:sz w:val="22"/>
          <w:szCs w:val="22"/>
        </w:rPr>
        <w:t xml:space="preserve"> bodies such as the Tehran Stock Exchange could enhance market transparency by introducing evaluation or benchmarking mechanisms for disclosure quality and accounting conservatism. Investors and financial analysts can integrate life cycle positioning into risk assessment and reporting credibility evaluations. Additionally, auditors may consider corporate life cycle stages as an important contextual factor when assessing reporting risk and transparency quality.</w:t>
      </w:r>
    </w:p>
    <w:p w14:paraId="6A79633C" w14:textId="77777777" w:rsidR="008F7776" w:rsidRPr="00C862C2" w:rsidRDefault="008F7776" w:rsidP="00C862C2">
      <w:pPr>
        <w:pStyle w:val="NormalWeb"/>
        <w:spacing w:before="0" w:beforeAutospacing="0" w:after="0" w:afterAutospacing="0"/>
        <w:jc w:val="both"/>
        <w:rPr>
          <w:rStyle w:val="Strong"/>
          <w:sz w:val="22"/>
          <w:szCs w:val="22"/>
          <w:rtl/>
          <w:lang w:bidi="fa-IR"/>
        </w:rPr>
      </w:pPr>
      <w:r w:rsidRPr="00C862C2">
        <w:rPr>
          <w:sz w:val="22"/>
          <w:szCs w:val="22"/>
        </w:rPr>
        <w:t xml:space="preserve">Despite its contributions, this study has several limitations. </w:t>
      </w:r>
      <w:r w:rsidRPr="00C862C2">
        <w:rPr>
          <w:rStyle w:val="Strong"/>
          <w:b w:val="0"/>
          <w:bCs w:val="0"/>
          <w:sz w:val="22"/>
          <w:szCs w:val="22"/>
        </w:rPr>
        <w:t>Environmental disclosure measurement relied on content analysis, which may be influenced by researcher judgment; thus, inherent limitations of this method should be acknowledged</w:t>
      </w:r>
      <w:r w:rsidRPr="00C862C2">
        <w:rPr>
          <w:rStyle w:val="Strong"/>
          <w:sz w:val="22"/>
          <w:szCs w:val="22"/>
        </w:rPr>
        <w:t>.</w:t>
      </w:r>
      <w:r w:rsidRPr="00C862C2">
        <w:rPr>
          <w:sz w:val="22"/>
          <w:szCs w:val="22"/>
        </w:rPr>
        <w:t xml:space="preserve"> The research period (2015–2022) coincided with economic sanctions and the COVID-19 pandemic, which may have affected corporate reporting behavior; future studies could analyze sub-periods to isolate macroeconomic effects. Individual cognitive and cultural characteristics of financial report preparers may also influence disclosure decisions and should be examined in future research. </w:t>
      </w:r>
      <w:r w:rsidRPr="00C862C2">
        <w:rPr>
          <w:rStyle w:val="Strong"/>
          <w:b w:val="0"/>
          <w:bCs w:val="0"/>
          <w:sz w:val="22"/>
          <w:szCs w:val="22"/>
        </w:rPr>
        <w:t>Given the substantial role of state-owned and semi-state-owned firms in Iran, ownership structure may create different incentives regarding environmental disclosure and accounting conservatism; therefore, future research should investigate ownership type as a moderating factor.</w:t>
      </w:r>
    </w:p>
    <w:p w14:paraId="584050C5" w14:textId="77777777" w:rsidR="00146D68" w:rsidRPr="00C862C2" w:rsidRDefault="00146D68" w:rsidP="00C862C2">
      <w:pPr>
        <w:pStyle w:val="NormalWeb"/>
        <w:spacing w:before="0" w:beforeAutospacing="0" w:after="0" w:afterAutospacing="0"/>
        <w:jc w:val="both"/>
        <w:rPr>
          <w:rStyle w:val="Strong"/>
          <w:sz w:val="22"/>
          <w:szCs w:val="22"/>
        </w:rPr>
      </w:pPr>
    </w:p>
    <w:p w14:paraId="4DE0E57D" w14:textId="4B7EBDB3" w:rsidR="009E60CB" w:rsidRPr="00C862C2" w:rsidRDefault="009E60CB" w:rsidP="00C862C2">
      <w:pPr>
        <w:pStyle w:val="NormalWeb"/>
        <w:spacing w:before="0" w:beforeAutospacing="0" w:after="0" w:afterAutospacing="0"/>
        <w:jc w:val="both"/>
        <w:rPr>
          <w:sz w:val="22"/>
          <w:szCs w:val="22"/>
        </w:rPr>
      </w:pPr>
      <w:r w:rsidRPr="00C862C2">
        <w:rPr>
          <w:rStyle w:val="Strong"/>
          <w:sz w:val="22"/>
          <w:szCs w:val="22"/>
        </w:rPr>
        <w:t>Conflicts of Interest</w:t>
      </w:r>
    </w:p>
    <w:p w14:paraId="47D0CD71" w14:textId="77777777" w:rsidR="00E54EC2" w:rsidRPr="00C862C2" w:rsidRDefault="00E54EC2"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The authors declare that they have no known competing financial interests or personal relationships that could have influenced the work reported in this paper. No specific funding was received for this study.</w:t>
      </w:r>
    </w:p>
    <w:p w14:paraId="30664A82" w14:textId="77777777" w:rsidR="00832F46" w:rsidRPr="00C862C2" w:rsidRDefault="00832F46" w:rsidP="00C862C2">
      <w:pPr>
        <w:spacing w:after="0" w:line="240" w:lineRule="auto"/>
        <w:jc w:val="both"/>
        <w:rPr>
          <w:rFonts w:ascii="Times New Roman" w:eastAsia="Times New Roman" w:hAnsi="Times New Roman" w:cs="Times New Roman"/>
        </w:rPr>
      </w:pPr>
    </w:p>
    <w:p w14:paraId="5F452AA0" w14:textId="77777777" w:rsidR="00832F46" w:rsidRPr="00C862C2" w:rsidRDefault="00F4301D" w:rsidP="00C862C2">
      <w:pPr>
        <w:spacing w:after="0" w:line="240" w:lineRule="auto"/>
        <w:jc w:val="both"/>
        <w:outlineLvl w:val="2"/>
        <w:rPr>
          <w:rFonts w:ascii="Times New Roman" w:eastAsia="Times New Roman" w:hAnsi="Times New Roman" w:cs="Times New Roman"/>
          <w:b/>
          <w:bCs/>
        </w:rPr>
      </w:pPr>
      <w:r w:rsidRPr="00C862C2">
        <w:rPr>
          <w:rFonts w:ascii="Times New Roman" w:eastAsia="Times New Roman" w:hAnsi="Times New Roman" w:cs="Times New Roman"/>
          <w:b/>
          <w:bCs/>
        </w:rPr>
        <w:t>Reference</w:t>
      </w:r>
    </w:p>
    <w:p w14:paraId="7B812E50"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 xml:space="preserve">Abdolkarimi, M., Najafi Moghaddam, A., &amp; Darabi, R. (2025). Analyzing the relationship between financial leverage and conditional/unconditional conservatism with emphasis on structural equations. </w:t>
      </w:r>
      <w:r w:rsidRPr="00C862C2">
        <w:rPr>
          <w:rStyle w:val="Emphasis"/>
          <w:i w:val="0"/>
          <w:iCs w:val="0"/>
          <w:sz w:val="22"/>
          <w:szCs w:val="22"/>
        </w:rPr>
        <w:t>Journal of Accounting and Management Audit Research, 14</w:t>
      </w:r>
      <w:r w:rsidRPr="00C862C2">
        <w:rPr>
          <w:sz w:val="22"/>
          <w:szCs w:val="22"/>
        </w:rPr>
        <w:t>(1), 79–93.</w:t>
      </w:r>
    </w:p>
    <w:p w14:paraId="25DAAC60"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Abdullah A. A. and N. Mohd-Saleh, “Impact of Firms’ Life-cycle on Conservatism: The Malaysian Evidence,” Procedia - Soc. </w:t>
      </w:r>
      <w:proofErr w:type="spellStart"/>
      <w:r w:rsidRPr="00C862C2">
        <w:rPr>
          <w:rFonts w:ascii="Times New Roman" w:hAnsi="Times New Roman" w:cs="Times New Roman"/>
        </w:rPr>
        <w:t>Behav</w:t>
      </w:r>
      <w:proofErr w:type="spellEnd"/>
      <w:r w:rsidRPr="00C862C2">
        <w:rPr>
          <w:rFonts w:ascii="Times New Roman" w:hAnsi="Times New Roman" w:cs="Times New Roman"/>
        </w:rPr>
        <w:t>. Sci., vol. 145, pp. 18–28, 2014,</w:t>
      </w:r>
    </w:p>
    <w:p w14:paraId="51139559"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Adizes</w:t>
      </w:r>
      <w:proofErr w:type="spellEnd"/>
      <w:r w:rsidRPr="00C862C2">
        <w:rPr>
          <w:rFonts w:ascii="Times New Roman" w:hAnsi="Times New Roman" w:cs="Times New Roman"/>
        </w:rPr>
        <w:t>, I. (1979). Organizational passages – Diagnosing and treating lifecycle problems of organizations. Organizational Dynamics, 8(1), 3-25</w:t>
      </w:r>
    </w:p>
    <w:p w14:paraId="77555331"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Ahmed, A. S., &amp; Duellman, S. (2007). Accounting Conservatism and Board of Director Characteristics: An Empirical Analysis, Journal of Accounting and Economics, 43(2-3), 411-437.</w:t>
      </w:r>
    </w:p>
    <w:p w14:paraId="1F65732B" w14:textId="00B42A75"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Almeida Jose Elias, Devendra Kale</w:t>
      </w:r>
      <w:r w:rsidR="00FD7D8D" w:rsidRPr="00C862C2">
        <w:rPr>
          <w:rFonts w:ascii="Times New Roman" w:hAnsi="Times New Roman" w:cs="Times New Roman"/>
        </w:rPr>
        <w:t xml:space="preserve"> </w:t>
      </w:r>
      <w:r w:rsidRPr="00C862C2">
        <w:rPr>
          <w:rFonts w:ascii="Times New Roman" w:hAnsi="Times New Roman" w:cs="Times New Roman"/>
        </w:rPr>
        <w:t>(2024), Firm life cycle and accrual quality, Advances in Accounting, Volume 67, December 2024, 100762.</w:t>
      </w:r>
    </w:p>
    <w:p w14:paraId="11FFEF8C"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lang w:val="es-ES"/>
        </w:rPr>
        <w:t xml:space="preserve">Almeida, J., E., F., &amp; Kale, D. (2021). </w:t>
      </w:r>
      <w:r w:rsidRPr="00C862C2">
        <w:rPr>
          <w:rFonts w:ascii="Times New Roman" w:hAnsi="Times New Roman" w:cs="Times New Roman"/>
        </w:rPr>
        <w:t xml:space="preserve">Firm life cycle and accrual quality. XV </w:t>
      </w:r>
      <w:proofErr w:type="spellStart"/>
      <w:r w:rsidRPr="00C862C2">
        <w:rPr>
          <w:rFonts w:ascii="Times New Roman" w:hAnsi="Times New Roman" w:cs="Times New Roman"/>
        </w:rPr>
        <w:t>CongressoAnpcont</w:t>
      </w:r>
      <w:proofErr w:type="spellEnd"/>
      <w:r w:rsidRPr="00C862C2">
        <w:rPr>
          <w:rFonts w:ascii="Times New Roman" w:hAnsi="Times New Roman" w:cs="Times New Roman"/>
        </w:rPr>
        <w:t xml:space="preserve">. </w:t>
      </w:r>
      <w:hyperlink r:id="rId11" w:history="1">
        <w:r w:rsidRPr="00C862C2">
          <w:rPr>
            <w:rStyle w:val="Hyperlink"/>
            <w:rFonts w:ascii="Times New Roman" w:hAnsi="Times New Roman" w:cs="Times New Roman"/>
            <w:color w:val="auto"/>
            <w:u w:val="none"/>
          </w:rPr>
          <w:t>https://anpcont.org.br/wpcontent/</w:t>
        </w:r>
      </w:hyperlink>
      <w:r w:rsidRPr="00C862C2">
        <w:rPr>
          <w:rFonts w:ascii="Times New Roman" w:hAnsi="Times New Roman" w:cs="Times New Roman"/>
        </w:rPr>
        <w:t xml:space="preserve"> uploads/2022/05/118_merged.pdf</w:t>
      </w:r>
    </w:p>
    <w:p w14:paraId="229586CF"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Anthony J. H., Ramesh K. Association between Accounting Performance Measures and Stock Prices A test of the life cycle hypothesis. Journal of Accounting and Economics 1992; 15: 203-27.</w:t>
      </w:r>
    </w:p>
    <w:p w14:paraId="5D616879"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Aouadi, A., &amp;</w:t>
      </w:r>
      <w:proofErr w:type="spellStart"/>
      <w:r w:rsidRPr="00C862C2">
        <w:rPr>
          <w:rFonts w:ascii="Times New Roman" w:hAnsi="Times New Roman" w:cs="Times New Roman"/>
        </w:rPr>
        <w:t>Marsat</w:t>
      </w:r>
      <w:proofErr w:type="spellEnd"/>
      <w:r w:rsidRPr="00C862C2">
        <w:rPr>
          <w:rFonts w:ascii="Times New Roman" w:hAnsi="Times New Roman" w:cs="Times New Roman"/>
        </w:rPr>
        <w:t>, S. (2018). Do ESG controversies matter for firm value? Evidence from international data. Journal of Business Ethics, 151(4), 1027-1047</w:t>
      </w:r>
    </w:p>
    <w:p w14:paraId="7CF1C96A"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Aray</w:t>
      </w:r>
      <w:proofErr w:type="spellEnd"/>
      <w:r w:rsidRPr="00C862C2">
        <w:rPr>
          <w:rFonts w:ascii="Times New Roman" w:hAnsi="Times New Roman" w:cs="Times New Roman"/>
        </w:rPr>
        <w:t xml:space="preserve">, Y., </w:t>
      </w:r>
      <w:proofErr w:type="spellStart"/>
      <w:r w:rsidRPr="00C862C2">
        <w:rPr>
          <w:rFonts w:ascii="Times New Roman" w:hAnsi="Times New Roman" w:cs="Times New Roman"/>
        </w:rPr>
        <w:t>Dikova</w:t>
      </w:r>
      <w:proofErr w:type="spellEnd"/>
      <w:r w:rsidRPr="00C862C2">
        <w:rPr>
          <w:rFonts w:ascii="Times New Roman" w:hAnsi="Times New Roman" w:cs="Times New Roman"/>
        </w:rPr>
        <w:t xml:space="preserve">, D., </w:t>
      </w:r>
      <w:proofErr w:type="spellStart"/>
      <w:r w:rsidRPr="00C862C2">
        <w:rPr>
          <w:rFonts w:ascii="Times New Roman" w:hAnsi="Times New Roman" w:cs="Times New Roman"/>
        </w:rPr>
        <w:t>Garanina</w:t>
      </w:r>
      <w:proofErr w:type="spellEnd"/>
      <w:r w:rsidRPr="00C862C2">
        <w:rPr>
          <w:rFonts w:ascii="Times New Roman" w:hAnsi="Times New Roman" w:cs="Times New Roman"/>
        </w:rPr>
        <w:t xml:space="preserve">, T., &amp; Veselova, A. (2021). The hunt for international legitimacy: Examining the relationship between internationalization, </w:t>
      </w:r>
      <w:proofErr w:type="spellStart"/>
      <w:r w:rsidRPr="00C862C2">
        <w:rPr>
          <w:rFonts w:ascii="Times New Roman" w:hAnsi="Times New Roman" w:cs="Times New Roman"/>
        </w:rPr>
        <w:t>stateownership</w:t>
      </w:r>
      <w:proofErr w:type="spellEnd"/>
      <w:r w:rsidRPr="00C862C2">
        <w:rPr>
          <w:rFonts w:ascii="Times New Roman" w:hAnsi="Times New Roman" w:cs="Times New Roman"/>
        </w:rPr>
        <w:t>, location and CSR reporting of Russian firms. International Business Review, 30(5).</w:t>
      </w:r>
    </w:p>
    <w:p w14:paraId="62C8D114"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 xml:space="preserve">Armin, A., Vakili Fard, H. R., </w:t>
      </w:r>
      <w:proofErr w:type="spellStart"/>
      <w:r w:rsidRPr="00C862C2">
        <w:rPr>
          <w:sz w:val="22"/>
          <w:szCs w:val="22"/>
        </w:rPr>
        <w:t>Talebnia</w:t>
      </w:r>
      <w:proofErr w:type="spellEnd"/>
      <w:r w:rsidRPr="00C862C2">
        <w:rPr>
          <w:sz w:val="22"/>
          <w:szCs w:val="22"/>
        </w:rPr>
        <w:t xml:space="preserve">, G., &amp; Amiri, A. (2025). Examining life cycle patterns on financial behavior from the perspective of organic approach theory. </w:t>
      </w:r>
      <w:r w:rsidRPr="00C862C2">
        <w:rPr>
          <w:rStyle w:val="Emphasis"/>
          <w:i w:val="0"/>
          <w:iCs w:val="0"/>
          <w:sz w:val="22"/>
          <w:szCs w:val="22"/>
        </w:rPr>
        <w:t>Scientific Research Quarterly of Investment Knowledge</w:t>
      </w:r>
      <w:r w:rsidRPr="00C862C2">
        <w:rPr>
          <w:sz w:val="22"/>
          <w:szCs w:val="22"/>
        </w:rPr>
        <w:t>, 14(2), 1–18.</w:t>
      </w:r>
    </w:p>
    <w:p w14:paraId="4D09E9EB"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Arouri, M., &amp;</w:t>
      </w:r>
      <w:proofErr w:type="spellStart"/>
      <w:r w:rsidRPr="00C862C2">
        <w:rPr>
          <w:rFonts w:ascii="Times New Roman" w:hAnsi="Times New Roman" w:cs="Times New Roman"/>
        </w:rPr>
        <w:t>Pijourlet</w:t>
      </w:r>
      <w:proofErr w:type="spellEnd"/>
      <w:r w:rsidRPr="00C862C2">
        <w:rPr>
          <w:rFonts w:ascii="Times New Roman" w:hAnsi="Times New Roman" w:cs="Times New Roman"/>
        </w:rPr>
        <w:t xml:space="preserve">, G. (2017). CSR performance and the value of cash holdings: International evidence. Journal of Business Ethics, 140, 263– 284 </w:t>
      </w:r>
    </w:p>
    <w:p w14:paraId="105FCDAA"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Atif, M., &amp; Ali, S. (2021). Environmental, social and governance disclosure and default risk. Business Strategy and the Environment, 30(8), 3937-3959.</w:t>
      </w:r>
    </w:p>
    <w:p w14:paraId="4661BECF"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Atif, M., Liu, B., Nadarajah, S., 2022. The effect of corporate environmental, social and governance disclosure on cash holdings: life-cycle perspective. Bus. Strategy. Environ. 31 (5), 2193–2212</w:t>
      </w:r>
    </w:p>
    <w:p w14:paraId="2EE1F30D" w14:textId="77777777" w:rsidR="00F66D82" w:rsidRPr="00C862C2" w:rsidRDefault="00F66D82" w:rsidP="00C862C2">
      <w:pPr>
        <w:spacing w:after="0" w:line="240" w:lineRule="auto"/>
        <w:jc w:val="both"/>
        <w:rPr>
          <w:rFonts w:ascii="Times New Roman" w:eastAsia="Times New Roman" w:hAnsi="Times New Roman" w:cs="Times New Roman"/>
        </w:rPr>
      </w:pPr>
      <w:r w:rsidRPr="00C862C2">
        <w:rPr>
          <w:rFonts w:ascii="Times New Roman" w:eastAsia="Times New Roman" w:hAnsi="Times New Roman" w:cs="Times New Roman"/>
        </w:rPr>
        <w:t>Azadpour, M., &amp; Mohammadzadeh Salteh, H. (2017). The impact of confidential cost-related factors on financial reporting quality with emphasis on tax avoidance. Tax Research Journal, 35(83), 179–201.</w:t>
      </w:r>
    </w:p>
    <w:p w14:paraId="2D360A1F"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Ball, R., &amp; Shivakumar, L. (2005). Earnings quality in UK private firms: comparative loss recognition timeliness. Journal of Accounting and Economics, 39(1), 83</w:t>
      </w:r>
      <w:r w:rsidRPr="00C862C2">
        <w:rPr>
          <w:rFonts w:ascii="Times New Roman" w:eastAsia="TimesNewRomanPSMT" w:hAnsi="Times New Roman" w:cs="Times New Roman"/>
        </w:rPr>
        <w:t>–</w:t>
      </w:r>
      <w:r w:rsidRPr="00C862C2">
        <w:rPr>
          <w:rFonts w:ascii="Times New Roman" w:hAnsi="Times New Roman" w:cs="Times New Roman"/>
        </w:rPr>
        <w:t>128</w:t>
      </w:r>
    </w:p>
    <w:p w14:paraId="0D2F1D48"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 xml:space="preserve">Barani, Z., </w:t>
      </w:r>
      <w:proofErr w:type="spellStart"/>
      <w:r w:rsidRPr="00C862C2">
        <w:rPr>
          <w:sz w:val="22"/>
          <w:szCs w:val="22"/>
        </w:rPr>
        <w:t>Garkaz</w:t>
      </w:r>
      <w:proofErr w:type="spellEnd"/>
      <w:r w:rsidRPr="00C862C2">
        <w:rPr>
          <w:sz w:val="22"/>
          <w:szCs w:val="22"/>
        </w:rPr>
        <w:t>, M., &amp;</w:t>
      </w:r>
      <w:proofErr w:type="spellStart"/>
      <w:r w:rsidRPr="00C862C2">
        <w:rPr>
          <w:sz w:val="22"/>
          <w:szCs w:val="22"/>
        </w:rPr>
        <w:t>Maatoufi</w:t>
      </w:r>
      <w:proofErr w:type="spellEnd"/>
      <w:r w:rsidRPr="00C862C2">
        <w:rPr>
          <w:sz w:val="22"/>
          <w:szCs w:val="22"/>
        </w:rPr>
        <w:t xml:space="preserve">, A. (2025). The effect of tendency toward risk taking (aggressive vs. conservative) on financial reporting behavior considering the moderating role of honesty–humility. </w:t>
      </w:r>
      <w:r w:rsidRPr="00C862C2">
        <w:rPr>
          <w:rStyle w:val="Emphasis"/>
          <w:i w:val="0"/>
          <w:iCs w:val="0"/>
          <w:sz w:val="22"/>
          <w:szCs w:val="22"/>
        </w:rPr>
        <w:t>Journal of Accounting and Management Audit Research, 14</w:t>
      </w:r>
      <w:r w:rsidRPr="00C862C2">
        <w:rPr>
          <w:sz w:val="22"/>
          <w:szCs w:val="22"/>
        </w:rPr>
        <w:t>(3), 45–60.</w:t>
      </w:r>
    </w:p>
    <w:p w14:paraId="63831AB6"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Basu, S. (1997). The Conservatism Principle and the Asymmetric Timeliness of Earnings. Journal of Accounting &amp; Economics, 24, 3</w:t>
      </w:r>
      <w:r w:rsidRPr="00C862C2">
        <w:rPr>
          <w:rFonts w:ascii="Times New Roman" w:eastAsia="TimesNewRomanPSMT" w:hAnsi="Times New Roman" w:cs="Times New Roman"/>
        </w:rPr>
        <w:t>–</w:t>
      </w:r>
      <w:r w:rsidRPr="00C862C2">
        <w:rPr>
          <w:rFonts w:ascii="Times New Roman" w:hAnsi="Times New Roman" w:cs="Times New Roman"/>
        </w:rPr>
        <w:t>37.</w:t>
      </w:r>
    </w:p>
    <w:p w14:paraId="37A4A3DD" w14:textId="77777777" w:rsidR="00F66D82" w:rsidRPr="00C862C2" w:rsidRDefault="00F66D82" w:rsidP="00C862C2">
      <w:pPr>
        <w:pStyle w:val="NormalWeb"/>
        <w:spacing w:before="0" w:beforeAutospacing="0" w:after="0" w:afterAutospacing="0"/>
        <w:jc w:val="both"/>
        <w:rPr>
          <w:sz w:val="22"/>
          <w:szCs w:val="22"/>
        </w:rPr>
      </w:pPr>
      <w:proofErr w:type="spellStart"/>
      <w:r w:rsidRPr="00C862C2">
        <w:rPr>
          <w:sz w:val="22"/>
          <w:szCs w:val="22"/>
        </w:rPr>
        <w:t>Benabi</w:t>
      </w:r>
      <w:proofErr w:type="spellEnd"/>
      <w:r w:rsidRPr="00C862C2">
        <w:rPr>
          <w:sz w:val="22"/>
          <w:szCs w:val="22"/>
        </w:rPr>
        <w:t xml:space="preserve"> Ghadim, R., &amp; Vaez, S. A. (2021). Investigating the relationship between corporate social responsibility index and accounting information comparability across corporate life cycle stages. </w:t>
      </w:r>
      <w:r w:rsidRPr="00C862C2">
        <w:rPr>
          <w:rStyle w:val="Emphasis"/>
          <w:i w:val="0"/>
          <w:iCs w:val="0"/>
          <w:sz w:val="22"/>
          <w:szCs w:val="22"/>
        </w:rPr>
        <w:t>Accounting and Auditing Reviews, 28</w:t>
      </w:r>
      <w:r w:rsidRPr="00C862C2">
        <w:rPr>
          <w:sz w:val="22"/>
          <w:szCs w:val="22"/>
        </w:rPr>
        <w:t>(1), 1–30.</w:t>
      </w:r>
    </w:p>
    <w:p w14:paraId="422F36C4"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Biddle, G. C., Ma, M. L., &amp; Song, F. M. (2020). Accounting conservatism and bankruptcy risk. Journal of Accounting, Auditing and Finance, 28(4), 369–396.</w:t>
      </w:r>
    </w:p>
    <w:p w14:paraId="2854E31B"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Blagov</w:t>
      </w:r>
      <w:proofErr w:type="spellEnd"/>
      <w:r w:rsidRPr="00C862C2">
        <w:rPr>
          <w:rFonts w:ascii="Times New Roman" w:hAnsi="Times New Roman" w:cs="Times New Roman"/>
        </w:rPr>
        <w:t>, Y. (Ed.). (2014). Report on social investments in Russia 2014: Integrating CSR principles into corporate strategy. The Russian Managers Association.</w:t>
      </w:r>
    </w:p>
    <w:p w14:paraId="5B995DD8" w14:textId="3DF525B3"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Boubakri, N., El Ghoul, S., </w:t>
      </w:r>
      <w:proofErr w:type="spellStart"/>
      <w:r w:rsidRPr="00C862C2">
        <w:rPr>
          <w:rFonts w:ascii="Times New Roman" w:hAnsi="Times New Roman" w:cs="Times New Roman"/>
        </w:rPr>
        <w:t>Guedhami</w:t>
      </w:r>
      <w:proofErr w:type="spellEnd"/>
      <w:r w:rsidRPr="00C862C2">
        <w:rPr>
          <w:rFonts w:ascii="Times New Roman" w:hAnsi="Times New Roman" w:cs="Times New Roman"/>
        </w:rPr>
        <w:t>, O., &amp; Wang, H. (2021). Corporate social responsibility in emerging market economies: Determinants, consequences</w:t>
      </w:r>
      <w:r w:rsidRPr="00C862C2">
        <w:rPr>
          <w:rFonts w:ascii="Times New Roman" w:hAnsi="Times New Roman" w:cs="Times New Roman"/>
          <w:rtl/>
        </w:rPr>
        <w:t>,</w:t>
      </w:r>
      <w:r w:rsidR="00FD7D8D" w:rsidRPr="00C862C2">
        <w:rPr>
          <w:rFonts w:ascii="Times New Roman" w:hAnsi="Times New Roman" w:cs="Times New Roman"/>
        </w:rPr>
        <w:t xml:space="preserve"> </w:t>
      </w:r>
      <w:r w:rsidRPr="00C862C2">
        <w:rPr>
          <w:rFonts w:ascii="Times New Roman" w:hAnsi="Times New Roman" w:cs="Times New Roman"/>
        </w:rPr>
        <w:t>and future research directions. Emerging Markets Review, 46(March).</w:t>
      </w:r>
    </w:p>
    <w:p w14:paraId="25B21BE9"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Bowrin</w:t>
      </w:r>
      <w:proofErr w:type="spellEnd"/>
      <w:r w:rsidRPr="00C862C2">
        <w:rPr>
          <w:rFonts w:ascii="Times New Roman" w:hAnsi="Times New Roman" w:cs="Times New Roman"/>
        </w:rPr>
        <w:t xml:space="preserve"> AR (2018). Human resources disclosures by African and Caribbean companies. Journal of Accounting in Emerging Economies, 8(2): 244-278.</w:t>
      </w:r>
    </w:p>
    <w:p w14:paraId="3CE57776"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Bozzolan</w:t>
      </w:r>
      <w:proofErr w:type="spellEnd"/>
      <w:r w:rsidRPr="00C862C2">
        <w:rPr>
          <w:rFonts w:ascii="Times New Roman" w:hAnsi="Times New Roman" w:cs="Times New Roman"/>
        </w:rPr>
        <w:t xml:space="preserve">, S., Fabrizi, M., Mallin, C. A., &amp; Michelon, G. (2015). Corporate social responsibility and earnings quality: International evidence. The </w:t>
      </w:r>
      <w:proofErr w:type="spellStart"/>
      <w:r w:rsidRPr="00C862C2">
        <w:rPr>
          <w:rFonts w:ascii="Times New Roman" w:hAnsi="Times New Roman" w:cs="Times New Roman"/>
        </w:rPr>
        <w:t>InternationalJournal</w:t>
      </w:r>
      <w:proofErr w:type="spellEnd"/>
      <w:r w:rsidRPr="00C862C2">
        <w:rPr>
          <w:rFonts w:ascii="Times New Roman" w:hAnsi="Times New Roman" w:cs="Times New Roman"/>
        </w:rPr>
        <w:t xml:space="preserve"> of Accounting, 50(4), 361–396.</w:t>
      </w:r>
    </w:p>
    <w:p w14:paraId="4A24BE16"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lang w:val="es-ES"/>
        </w:rPr>
        <w:t>Branco, M., &amp;</w:t>
      </w:r>
      <w:proofErr w:type="spellStart"/>
      <w:r w:rsidRPr="00C862C2">
        <w:rPr>
          <w:rFonts w:ascii="Times New Roman" w:hAnsi="Times New Roman" w:cs="Times New Roman"/>
          <w:lang w:val="es-ES"/>
        </w:rPr>
        <w:t>Rodrigues</w:t>
      </w:r>
      <w:proofErr w:type="spellEnd"/>
      <w:r w:rsidRPr="00C862C2">
        <w:rPr>
          <w:rFonts w:ascii="Times New Roman" w:hAnsi="Times New Roman" w:cs="Times New Roman"/>
          <w:lang w:val="es-ES"/>
        </w:rPr>
        <w:t xml:space="preserve">, L. L. (2006). </w:t>
      </w:r>
      <w:r w:rsidRPr="00C862C2">
        <w:rPr>
          <w:rFonts w:ascii="Times New Roman" w:hAnsi="Times New Roman" w:cs="Times New Roman"/>
        </w:rPr>
        <w:t xml:space="preserve">Communication of corporate social responsibility by Portuguese banks. Corporate Communications: An </w:t>
      </w:r>
      <w:proofErr w:type="spellStart"/>
      <w:r w:rsidRPr="00C862C2">
        <w:rPr>
          <w:rFonts w:ascii="Times New Roman" w:hAnsi="Times New Roman" w:cs="Times New Roman"/>
        </w:rPr>
        <w:t>InternationalJournal</w:t>
      </w:r>
      <w:proofErr w:type="spellEnd"/>
      <w:r w:rsidRPr="00C862C2">
        <w:rPr>
          <w:rFonts w:ascii="Times New Roman" w:hAnsi="Times New Roman" w:cs="Times New Roman"/>
        </w:rPr>
        <w:t>, 11(3), 232–248</w:t>
      </w:r>
    </w:p>
    <w:p w14:paraId="7E9D321F"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Broadstock, D. C., Matousek, R., Meyer, M., &amp; Tzeremes, N. G. (2021). Does corporate social responsibility impact firms’ innovation capacity? The indirect link between environmental &amp; social governance implementation and innovation performance. Journal of Business Research, 119, 99-110.</w:t>
      </w:r>
    </w:p>
    <w:p w14:paraId="6F98D12F"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Brogi</w:t>
      </w:r>
      <w:proofErr w:type="spellEnd"/>
      <w:r w:rsidRPr="00C862C2">
        <w:rPr>
          <w:rFonts w:ascii="Times New Roman" w:hAnsi="Times New Roman" w:cs="Times New Roman"/>
        </w:rPr>
        <w:t>, M, &amp;</w:t>
      </w:r>
      <w:proofErr w:type="spellStart"/>
      <w:r w:rsidRPr="00C862C2">
        <w:rPr>
          <w:rFonts w:ascii="Times New Roman" w:hAnsi="Times New Roman" w:cs="Times New Roman"/>
        </w:rPr>
        <w:t>Lagasio</w:t>
      </w:r>
      <w:proofErr w:type="spellEnd"/>
      <w:r w:rsidRPr="00C862C2">
        <w:rPr>
          <w:rFonts w:ascii="Times New Roman" w:hAnsi="Times New Roman" w:cs="Times New Roman"/>
        </w:rPr>
        <w:t>, V. (2019). Environmental, social, and governance and company profitability: Are financial intermediaries different? Corporate Social Responsibility and Environmental Management, 26(3), 576- 587.</w:t>
      </w:r>
    </w:p>
    <w:p w14:paraId="549DF714"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Brooks, C., &amp; Oikonomou, I. (2018). The effects of environmental, social and governance disclosures and performance on firm value: A review of the literature in accounting and finance. The British Accounting Review, 50(1), 1-15</w:t>
      </w:r>
    </w:p>
    <w:p w14:paraId="4B1C8F9C"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Burke, Q. L., Chen, P. C., &amp; Lobo, G. J. (2020). Is corporate social responsibility performance related to conditional accounting conservatism? </w:t>
      </w:r>
      <w:proofErr w:type="spellStart"/>
      <w:r w:rsidRPr="00C862C2">
        <w:rPr>
          <w:rFonts w:ascii="Times New Roman" w:hAnsi="Times New Roman" w:cs="Times New Roman"/>
        </w:rPr>
        <w:t>AccountingHorizons</w:t>
      </w:r>
      <w:proofErr w:type="spellEnd"/>
      <w:r w:rsidRPr="00C862C2">
        <w:rPr>
          <w:rFonts w:ascii="Times New Roman" w:hAnsi="Times New Roman" w:cs="Times New Roman"/>
        </w:rPr>
        <w:t>, 34(2), 19–40</w:t>
      </w:r>
    </w:p>
    <w:p w14:paraId="21BE293E" w14:textId="7E8B3820"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Cai, W., Lee, E., Xu, A. L., &amp; Zeng, C. C. (2019). Does corporate social responsibility disclosure reduce the information disadvantage of foreign </w:t>
      </w:r>
      <w:proofErr w:type="gramStart"/>
      <w:r w:rsidRPr="00C862C2">
        <w:rPr>
          <w:rFonts w:ascii="Times New Roman" w:hAnsi="Times New Roman" w:cs="Times New Roman"/>
        </w:rPr>
        <w:t>investors</w:t>
      </w:r>
      <w:r w:rsidRPr="00C862C2">
        <w:rPr>
          <w:rFonts w:ascii="Times New Roman" w:hAnsi="Times New Roman" w:cs="Times New Roman"/>
          <w:rtl/>
        </w:rPr>
        <w:t>?</w:t>
      </w:r>
      <w:r w:rsidR="00FD7D8D" w:rsidRPr="00C862C2">
        <w:rPr>
          <w:rFonts w:ascii="Times New Roman" w:hAnsi="Times New Roman" w:cs="Times New Roman"/>
        </w:rPr>
        <w:t>.</w:t>
      </w:r>
      <w:proofErr w:type="gramEnd"/>
      <w:r w:rsidR="00FD7D8D" w:rsidRPr="00C862C2">
        <w:rPr>
          <w:rFonts w:ascii="Times New Roman" w:hAnsi="Times New Roman" w:cs="Times New Roman"/>
        </w:rPr>
        <w:t xml:space="preserve"> </w:t>
      </w:r>
      <w:r w:rsidRPr="00C862C2">
        <w:rPr>
          <w:rFonts w:ascii="Times New Roman" w:hAnsi="Times New Roman" w:cs="Times New Roman"/>
        </w:rPr>
        <w:t>Journal of International Accounting, Auditing and Taxation, 34, 12–29.</w:t>
      </w:r>
    </w:p>
    <w:p w14:paraId="1740F3A3"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lang w:val="es-ES"/>
        </w:rPr>
        <w:t xml:space="preserve">Callen, J. L., Khan, M., &amp; Lu, H. (2013). </w:t>
      </w:r>
      <w:r w:rsidRPr="00C862C2">
        <w:rPr>
          <w:rFonts w:ascii="Times New Roman" w:hAnsi="Times New Roman" w:cs="Times New Roman"/>
        </w:rPr>
        <w:t>Accounting quality, stock price delay, and future stock returns. Contemporary Accounting Research, 30(1), 269–295.</w:t>
      </w:r>
    </w:p>
    <w:p w14:paraId="31CF6BF6" w14:textId="77777777" w:rsidR="00F66D82" w:rsidRPr="00C862C2" w:rsidRDefault="00F66D82" w:rsidP="00C862C2">
      <w:pPr>
        <w:pStyle w:val="p1"/>
        <w:jc w:val="both"/>
        <w:rPr>
          <w:rFonts w:ascii="Times New Roman" w:hAnsi="Times New Roman"/>
          <w:color w:val="auto"/>
          <w:sz w:val="22"/>
          <w:szCs w:val="22"/>
        </w:rPr>
      </w:pPr>
      <w:r w:rsidRPr="00C862C2">
        <w:rPr>
          <w:rStyle w:val="s1"/>
          <w:rFonts w:ascii="Times New Roman" w:hAnsi="Times New Roman"/>
          <w:color w:val="auto"/>
          <w:sz w:val="22"/>
          <w:szCs w:val="22"/>
        </w:rPr>
        <w:t xml:space="preserve">Cardoso, R. L., Leite, R.O., &amp; Aquino, A. C. B. (2023). Probable at first glance, </w:t>
      </w:r>
      <w:proofErr w:type="spellStart"/>
      <w:r w:rsidRPr="00C862C2">
        <w:rPr>
          <w:rStyle w:val="s1"/>
          <w:rFonts w:ascii="Times New Roman" w:hAnsi="Times New Roman"/>
          <w:color w:val="auto"/>
          <w:sz w:val="22"/>
          <w:szCs w:val="22"/>
        </w:rPr>
        <w:t>butunlikely</w:t>
      </w:r>
      <w:proofErr w:type="spellEnd"/>
      <w:r w:rsidRPr="00C862C2">
        <w:rPr>
          <w:rStyle w:val="s1"/>
          <w:rFonts w:ascii="Times New Roman" w:hAnsi="Times New Roman"/>
          <w:color w:val="auto"/>
          <w:sz w:val="22"/>
          <w:szCs w:val="22"/>
        </w:rPr>
        <w:t xml:space="preserve"> after closer look: The role of cognitive reflection ability on </w:t>
      </w:r>
      <w:proofErr w:type="spellStart"/>
      <w:r w:rsidRPr="00C862C2">
        <w:rPr>
          <w:rStyle w:val="s1"/>
          <w:rFonts w:ascii="Times New Roman" w:hAnsi="Times New Roman"/>
          <w:color w:val="auto"/>
          <w:sz w:val="22"/>
          <w:szCs w:val="22"/>
        </w:rPr>
        <w:t>theassessment</w:t>
      </w:r>
      <w:proofErr w:type="spellEnd"/>
      <w:r w:rsidRPr="00C862C2">
        <w:rPr>
          <w:rStyle w:val="s1"/>
          <w:rFonts w:ascii="Times New Roman" w:hAnsi="Times New Roman"/>
          <w:color w:val="auto"/>
          <w:sz w:val="22"/>
          <w:szCs w:val="22"/>
        </w:rPr>
        <w:t xml:space="preserve"> of probabilistic expressions. The International Journal </w:t>
      </w:r>
      <w:proofErr w:type="spellStart"/>
      <w:r w:rsidRPr="00C862C2">
        <w:rPr>
          <w:rStyle w:val="s1"/>
          <w:rFonts w:ascii="Times New Roman" w:hAnsi="Times New Roman"/>
          <w:color w:val="auto"/>
          <w:sz w:val="22"/>
          <w:szCs w:val="22"/>
        </w:rPr>
        <w:t>ofAccounting</w:t>
      </w:r>
      <w:proofErr w:type="spellEnd"/>
      <w:r w:rsidRPr="00C862C2">
        <w:rPr>
          <w:rStyle w:val="s1"/>
          <w:rFonts w:ascii="Times New Roman" w:hAnsi="Times New Roman"/>
          <w:color w:val="auto"/>
          <w:sz w:val="22"/>
          <w:szCs w:val="22"/>
        </w:rPr>
        <w:t>, 58(02), 2350004</w:t>
      </w:r>
    </w:p>
    <w:p w14:paraId="7D6D9B99"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Charitou, A., </w:t>
      </w:r>
      <w:proofErr w:type="spellStart"/>
      <w:r w:rsidRPr="00C862C2">
        <w:rPr>
          <w:rFonts w:ascii="Times New Roman" w:hAnsi="Times New Roman" w:cs="Times New Roman"/>
        </w:rPr>
        <w:t>Lambertides</w:t>
      </w:r>
      <w:proofErr w:type="spellEnd"/>
      <w:r w:rsidRPr="00C862C2">
        <w:rPr>
          <w:rFonts w:ascii="Times New Roman" w:hAnsi="Times New Roman" w:cs="Times New Roman"/>
        </w:rPr>
        <w:t xml:space="preserve">, N., and </w:t>
      </w:r>
      <w:proofErr w:type="spellStart"/>
      <w:r w:rsidRPr="00C862C2">
        <w:rPr>
          <w:rFonts w:ascii="Times New Roman" w:hAnsi="Times New Roman" w:cs="Times New Roman"/>
        </w:rPr>
        <w:t>Trigeorgis</w:t>
      </w:r>
      <w:proofErr w:type="spellEnd"/>
      <w:r w:rsidRPr="00C862C2">
        <w:rPr>
          <w:rFonts w:ascii="Times New Roman" w:hAnsi="Times New Roman" w:cs="Times New Roman"/>
        </w:rPr>
        <w:t>, L. (2011). Distress Risk, Growth and Earnings Quality. Abacus, 47(2), 158-181.</w:t>
      </w:r>
    </w:p>
    <w:p w14:paraId="70F7379D"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Chen, P.H., Ong, C.F., Hsu, S.C., 2016. Understanding the relationships between environmental management practices and financial performances of multinational construction firms. J. Cleaner. Prod. 139, 750–760.</w:t>
      </w:r>
    </w:p>
    <w:p w14:paraId="571D65C3"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Cheng, B., Ioannou, I., &amp; Serafeim, G. (2014). Corporate social responsibility and access to finance. Strategic Management Journal, 35, 1–23.</w:t>
      </w:r>
    </w:p>
    <w:p w14:paraId="1DD5E10E"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Ching, H. Y., </w:t>
      </w:r>
      <w:proofErr w:type="spellStart"/>
      <w:r w:rsidRPr="00C862C2">
        <w:rPr>
          <w:rFonts w:ascii="Times New Roman" w:hAnsi="Times New Roman" w:cs="Times New Roman"/>
        </w:rPr>
        <w:t>Gerab</w:t>
      </w:r>
      <w:proofErr w:type="spellEnd"/>
      <w:r w:rsidRPr="00C862C2">
        <w:rPr>
          <w:rFonts w:ascii="Times New Roman" w:hAnsi="Times New Roman" w:cs="Times New Roman"/>
        </w:rPr>
        <w:t>, F., &amp; Toste, T. H. (2017). The quality of sustainability reports and corporate financial performance: Evidence from Brazilian listed companies. SAGE Open, 7(2).</w:t>
      </w:r>
    </w:p>
    <w:p w14:paraId="31278930"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Cho SY, Kang PK, Lee C, and Park C (2020). Financial reporting conservatism and voluntary CSR disclosure. Accounting Horizons, 34(2): 63-82.</w:t>
      </w:r>
    </w:p>
    <w:p w14:paraId="54C6CBA1"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Conca, L., Manta, F., Morrone, D., &amp; Toma, P. (2021). The impact of direct environmental, social, and governance reporting: Empirical evidence in European-listed companies in the agri-food sector. Business Strategy and the Environment, 30(2),1080-1093.</w:t>
      </w:r>
    </w:p>
    <w:p w14:paraId="697ECD7B"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Crilly, D., Zollo, M., &amp; Hansen, M. T. (2012). Faking it or muddling through? Understanding decoupling in response to stakeholder pressures. Academy </w:t>
      </w:r>
      <w:proofErr w:type="spellStart"/>
      <w:r w:rsidRPr="00C862C2">
        <w:rPr>
          <w:rFonts w:ascii="Times New Roman" w:hAnsi="Times New Roman" w:cs="Times New Roman"/>
        </w:rPr>
        <w:t>ofManagement</w:t>
      </w:r>
      <w:proofErr w:type="spellEnd"/>
      <w:r w:rsidRPr="00C862C2">
        <w:rPr>
          <w:rFonts w:ascii="Times New Roman" w:hAnsi="Times New Roman" w:cs="Times New Roman"/>
        </w:rPr>
        <w:t xml:space="preserve"> Journal, 55(6), 1429–1448.</w:t>
      </w:r>
    </w:p>
    <w:p w14:paraId="409DDA66"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Crotty, J. (2016). Corporate social responsibility in the Russian federation: A contextualized approach. Business &amp; Society, 55(6), 825–853.</w:t>
      </w:r>
    </w:p>
    <w:p w14:paraId="02D0586B" w14:textId="35D054DC"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Deegan, C., Rankin, M., &amp; Tobin, J. (2002). An examination of the corporate social and environmental disclosures of BHP from 1983–1997. Accounting</w:t>
      </w:r>
      <w:r w:rsidRPr="00C862C2">
        <w:rPr>
          <w:rFonts w:ascii="Times New Roman" w:hAnsi="Times New Roman" w:cs="Times New Roman"/>
          <w:rtl/>
        </w:rPr>
        <w:t>,</w:t>
      </w:r>
      <w:r w:rsidR="00FD7D8D" w:rsidRPr="00C862C2">
        <w:rPr>
          <w:rFonts w:ascii="Times New Roman" w:hAnsi="Times New Roman" w:cs="Times New Roman"/>
        </w:rPr>
        <w:t xml:space="preserve"> </w:t>
      </w:r>
      <w:r w:rsidRPr="00C862C2">
        <w:rPr>
          <w:rFonts w:ascii="Times New Roman" w:hAnsi="Times New Roman" w:cs="Times New Roman"/>
        </w:rPr>
        <w:t>Auditing&amp; Accountability Journal, 15(3), 312–343</w:t>
      </w:r>
      <w:r w:rsidR="00FD7D8D" w:rsidRPr="00C862C2">
        <w:rPr>
          <w:rFonts w:ascii="Times New Roman" w:hAnsi="Times New Roman" w:cs="Times New Roman"/>
        </w:rPr>
        <w:t>.</w:t>
      </w:r>
    </w:p>
    <w:p w14:paraId="0DDCC0CA"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Dickinson, V. (2011). Cash flow patterns as a proxy for firm life cycle. Accounting Review, 86(6), 1969-1994</w:t>
      </w:r>
    </w:p>
    <w:p w14:paraId="68DCB689"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Donaldson, G; &amp; Lorsch, J. W. (1983). Decision making at the top: The shaping of strategic direction. New York, NY: Basic Books</w:t>
      </w:r>
    </w:p>
    <w:p w14:paraId="76539C9A"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Eccles, R. G., Ioannou, I., &amp; Serafeim, G. (2014). The impact of corporate sustainability on organizational processes and performance. Management Science, 60(11), 2835–2857</w:t>
      </w:r>
    </w:p>
    <w:p w14:paraId="00ABC34C"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El Ghoul, S., </w:t>
      </w:r>
      <w:proofErr w:type="spellStart"/>
      <w:r w:rsidRPr="00C862C2">
        <w:rPr>
          <w:rFonts w:ascii="Times New Roman" w:hAnsi="Times New Roman" w:cs="Times New Roman"/>
        </w:rPr>
        <w:t>Guedhami</w:t>
      </w:r>
      <w:proofErr w:type="spellEnd"/>
      <w:r w:rsidRPr="00C862C2">
        <w:rPr>
          <w:rFonts w:ascii="Times New Roman" w:hAnsi="Times New Roman" w:cs="Times New Roman"/>
        </w:rPr>
        <w:t>, O., Kwok, C. C., &amp; Mishra, D. R. (2011). Does corporate social responsibility affect the cost of capital? Journal of Banking &amp; Finance, 35(9), 2388–2406</w:t>
      </w:r>
    </w:p>
    <w:p w14:paraId="586FFE1E"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lang w:val="es-ES"/>
        </w:rPr>
        <w:t xml:space="preserve">Fama, E. F., &amp; Jensen, M. C. (1983). </w:t>
      </w:r>
      <w:r w:rsidRPr="00C862C2">
        <w:rPr>
          <w:rFonts w:ascii="Times New Roman" w:hAnsi="Times New Roman" w:cs="Times New Roman"/>
        </w:rPr>
        <w:t>Separation of ownership and control. The Journal of Law &amp; Economics, 26(2), 301–325</w:t>
      </w:r>
    </w:p>
    <w:p w14:paraId="5B74B7FD" w14:textId="47EBFC97" w:rsidR="00F66D82" w:rsidRPr="00C862C2" w:rsidRDefault="00F66D82" w:rsidP="00C862C2">
      <w:pPr>
        <w:spacing w:after="0" w:line="240" w:lineRule="auto"/>
        <w:jc w:val="both"/>
        <w:rPr>
          <w:rFonts w:ascii="Times New Roman" w:hAnsi="Times New Roman" w:cs="Times New Roman"/>
        </w:rPr>
      </w:pPr>
      <w:r w:rsidRPr="00C862C2">
        <w:rPr>
          <w:rFonts w:ascii="Times New Roman" w:hAnsi="Times New Roman" w:cs="Times New Roman"/>
        </w:rPr>
        <w:t>Ferreira Denize Demarche Minatti, Kátia Dalcero, Sara Meurer, Edilson Paulo</w:t>
      </w:r>
      <w:r w:rsidR="00FD7D8D" w:rsidRPr="00C862C2">
        <w:rPr>
          <w:rFonts w:ascii="Times New Roman" w:hAnsi="Times New Roman" w:cs="Times New Roman"/>
        </w:rPr>
        <w:t xml:space="preserve"> </w:t>
      </w:r>
      <w:r w:rsidRPr="00C862C2">
        <w:rPr>
          <w:rFonts w:ascii="Times New Roman" w:hAnsi="Times New Roman" w:cs="Times New Roman"/>
        </w:rPr>
        <w:t xml:space="preserve">(2022), ENVIRONMENTAL, SOCIAL AND GOVERNANCE (ESG) PERFORMANCE AND ITS INFLUENCE ON ACCOUNTING CONSERVATISM, XLVI </w:t>
      </w:r>
      <w:proofErr w:type="spellStart"/>
      <w:r w:rsidRPr="00C862C2">
        <w:rPr>
          <w:rFonts w:ascii="Times New Roman" w:hAnsi="Times New Roman" w:cs="Times New Roman"/>
        </w:rPr>
        <w:t>Encontro</w:t>
      </w:r>
      <w:proofErr w:type="spellEnd"/>
      <w:r w:rsidRPr="00C862C2">
        <w:rPr>
          <w:rFonts w:ascii="Times New Roman" w:hAnsi="Times New Roman" w:cs="Times New Roman"/>
        </w:rPr>
        <w:t xml:space="preserve"> da ANPAD, 21(23): 2177-2576.</w:t>
      </w:r>
    </w:p>
    <w:p w14:paraId="27C34A37"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Filatotchev, I., &amp; Stahl, G. (2015). Towards transnational CSR. Corporate social responsibility approaches and governance solutions for </w:t>
      </w:r>
      <w:proofErr w:type="spellStart"/>
      <w:r w:rsidRPr="00C862C2">
        <w:rPr>
          <w:rFonts w:ascii="Times New Roman" w:hAnsi="Times New Roman" w:cs="Times New Roman"/>
        </w:rPr>
        <w:t>multinationalcorporations</w:t>
      </w:r>
      <w:proofErr w:type="spellEnd"/>
      <w:r w:rsidRPr="00C862C2">
        <w:rPr>
          <w:rFonts w:ascii="Times New Roman" w:hAnsi="Times New Roman" w:cs="Times New Roman"/>
        </w:rPr>
        <w:t>. Organizational Dynamics, 44(2), 121–129.</w:t>
      </w:r>
    </w:p>
    <w:p w14:paraId="0A02E9A3"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Filippov, S. (2012). Emerging Russian multinational companies: Managerial and corporate challenges. European Journal of International Management, 6(3</w:t>
      </w:r>
      <w:r w:rsidRPr="00C862C2">
        <w:rPr>
          <w:rFonts w:ascii="Times New Roman" w:hAnsi="Times New Roman" w:cs="Times New Roman"/>
          <w:rtl/>
        </w:rPr>
        <w:t>),</w:t>
      </w:r>
      <w:r w:rsidRPr="00C862C2">
        <w:rPr>
          <w:rFonts w:ascii="Times New Roman" w:hAnsi="Times New Roman" w:cs="Times New Roman"/>
        </w:rPr>
        <w:t>323–341</w:t>
      </w:r>
    </w:p>
    <w:p w14:paraId="2CC9DAE6"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Francis RN, </w:t>
      </w:r>
      <w:proofErr w:type="spellStart"/>
      <w:r w:rsidRPr="00C862C2">
        <w:rPr>
          <w:rFonts w:ascii="Times New Roman" w:hAnsi="Times New Roman" w:cs="Times New Roman"/>
        </w:rPr>
        <w:t>Harrast</w:t>
      </w:r>
      <w:proofErr w:type="spellEnd"/>
      <w:r w:rsidRPr="00C862C2">
        <w:rPr>
          <w:rFonts w:ascii="Times New Roman" w:hAnsi="Times New Roman" w:cs="Times New Roman"/>
        </w:rPr>
        <w:t xml:space="preserve"> S, Mattingly J, and Olsen L (2013). The relation between accounting conservatism and corporate social performance: An empirical investigation. Business and Society Review, 118(2): 193-222.</w:t>
      </w:r>
    </w:p>
    <w:p w14:paraId="56DF645F"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lang w:val="es-ES"/>
        </w:rPr>
      </w:pPr>
      <w:r w:rsidRPr="00C862C2">
        <w:rPr>
          <w:rFonts w:ascii="Times New Roman" w:hAnsi="Times New Roman" w:cs="Times New Roman"/>
        </w:rPr>
        <w:t xml:space="preserve">Freeman, R. E. (1984). Strategic management: A stakeholder approach. </w:t>
      </w:r>
      <w:r w:rsidRPr="00C862C2">
        <w:rPr>
          <w:rFonts w:ascii="Times New Roman" w:hAnsi="Times New Roman" w:cs="Times New Roman"/>
          <w:lang w:val="es-ES"/>
        </w:rPr>
        <w:t>Pitman.</w:t>
      </w:r>
    </w:p>
    <w:p w14:paraId="531A80E7"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lang w:val="es-ES"/>
        </w:rPr>
      </w:pPr>
      <w:r w:rsidRPr="00C862C2">
        <w:rPr>
          <w:rFonts w:ascii="Times New Roman" w:hAnsi="Times New Roman" w:cs="Times New Roman"/>
          <w:lang w:val="es-ES"/>
        </w:rPr>
        <w:t xml:space="preserve">Freire, M. M. A., Prudencio, P. de A., &amp; Lima, J. E. N. da C. (2022). </w:t>
      </w:r>
      <w:proofErr w:type="spellStart"/>
      <w:r w:rsidRPr="00C862C2">
        <w:rPr>
          <w:rFonts w:ascii="Times New Roman" w:hAnsi="Times New Roman" w:cs="Times New Roman"/>
          <w:lang w:val="es-ES"/>
        </w:rPr>
        <w:t>Responsabilidade</w:t>
      </w:r>
      <w:proofErr w:type="spellEnd"/>
      <w:r w:rsidRPr="00C862C2">
        <w:rPr>
          <w:rFonts w:ascii="Times New Roman" w:hAnsi="Times New Roman" w:cs="Times New Roman"/>
          <w:lang w:val="es-ES"/>
        </w:rPr>
        <w:t xml:space="preserve"> social corporativa e o ciclo de vida das empresas brasileiras. Revista Ambiente </w:t>
      </w:r>
      <w:proofErr w:type="spellStart"/>
      <w:r w:rsidRPr="00C862C2">
        <w:rPr>
          <w:rFonts w:ascii="Times New Roman" w:hAnsi="Times New Roman" w:cs="Times New Roman"/>
          <w:lang w:val="es-ES"/>
        </w:rPr>
        <w:t>Contábil</w:t>
      </w:r>
      <w:proofErr w:type="spellEnd"/>
      <w:r w:rsidRPr="00C862C2">
        <w:rPr>
          <w:rFonts w:ascii="Times New Roman" w:hAnsi="Times New Roman" w:cs="Times New Roman"/>
          <w:lang w:val="es-ES"/>
        </w:rPr>
        <w:t xml:space="preserve"> – </w:t>
      </w:r>
      <w:proofErr w:type="spellStart"/>
      <w:r w:rsidRPr="00C862C2">
        <w:rPr>
          <w:rFonts w:ascii="Times New Roman" w:hAnsi="Times New Roman" w:cs="Times New Roman"/>
          <w:lang w:val="es-ES"/>
        </w:rPr>
        <w:t>Universidade</w:t>
      </w:r>
      <w:proofErr w:type="spellEnd"/>
      <w:r w:rsidRPr="00C862C2">
        <w:rPr>
          <w:rFonts w:ascii="Times New Roman" w:hAnsi="Times New Roman" w:cs="Times New Roman"/>
          <w:lang w:val="es-ES"/>
        </w:rPr>
        <w:t xml:space="preserve"> Federal Do Rio Grande Do Norte, 14(2), 129-145.</w:t>
      </w:r>
    </w:p>
    <w:p w14:paraId="3AD00971"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Friede, G., Busch, T., Bassen. A. (2015). ESG and financial performance: Aggregated evidence from more than 2,000 empirical studies. Journal of Sustainable Finance &amp; Investment, 5(4), 210-233.</w:t>
      </w:r>
    </w:p>
    <w:p w14:paraId="5A0700A0"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Gabarro, J. J. (1978). The development of trust, influence and expectations. In A. G. Athos &amp; J. J. </w:t>
      </w:r>
      <w:proofErr w:type="spellStart"/>
      <w:r w:rsidRPr="00C862C2">
        <w:rPr>
          <w:rFonts w:ascii="Times New Roman" w:hAnsi="Times New Roman" w:cs="Times New Roman"/>
        </w:rPr>
        <w:t>Gabarro</w:t>
      </w:r>
      <w:proofErr w:type="spellEnd"/>
      <w:r w:rsidRPr="00C862C2">
        <w:rPr>
          <w:rFonts w:ascii="Times New Roman" w:hAnsi="Times New Roman" w:cs="Times New Roman"/>
        </w:rPr>
        <w:t xml:space="preserve"> (Eds.), Interpersonal behavior: Communication </w:t>
      </w:r>
      <w:proofErr w:type="spellStart"/>
      <w:r w:rsidRPr="00C862C2">
        <w:rPr>
          <w:rFonts w:ascii="Times New Roman" w:hAnsi="Times New Roman" w:cs="Times New Roman"/>
        </w:rPr>
        <w:t>andunderstanding</w:t>
      </w:r>
      <w:proofErr w:type="spellEnd"/>
      <w:r w:rsidRPr="00C862C2">
        <w:rPr>
          <w:rFonts w:ascii="Times New Roman" w:hAnsi="Times New Roman" w:cs="Times New Roman"/>
        </w:rPr>
        <w:t xml:space="preserve"> in relationships (pp. 290–303). Prentice Hall.</w:t>
      </w:r>
    </w:p>
    <w:p w14:paraId="59AFEC64"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Gao, F., </w:t>
      </w:r>
      <w:proofErr w:type="spellStart"/>
      <w:r w:rsidRPr="00C862C2">
        <w:rPr>
          <w:rFonts w:ascii="Times New Roman" w:hAnsi="Times New Roman" w:cs="Times New Roman"/>
        </w:rPr>
        <w:t>Lisic</w:t>
      </w:r>
      <w:proofErr w:type="spellEnd"/>
      <w:r w:rsidRPr="00C862C2">
        <w:rPr>
          <w:rFonts w:ascii="Times New Roman" w:hAnsi="Times New Roman" w:cs="Times New Roman"/>
        </w:rPr>
        <w:t>, L. L., &amp; Zhang, I. X. (2014). Commitment to social good and insider trading. Journal of Accounting and Economics, 57(2–3), 149–175</w:t>
      </w:r>
    </w:p>
    <w:p w14:paraId="4D0C923E" w14:textId="0E615AFB"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Garanina</w:t>
      </w:r>
      <w:proofErr w:type="spellEnd"/>
      <w:r w:rsidRPr="00C862C2">
        <w:rPr>
          <w:rFonts w:ascii="Times New Roman" w:hAnsi="Times New Roman" w:cs="Times New Roman"/>
        </w:rPr>
        <w:t xml:space="preserve"> Tatiana, Oksana Kim</w:t>
      </w:r>
      <w:r w:rsidR="00FD7D8D" w:rsidRPr="00C862C2">
        <w:rPr>
          <w:rFonts w:ascii="Times New Roman" w:hAnsi="Times New Roman" w:cs="Times New Roman"/>
        </w:rPr>
        <w:t xml:space="preserve"> </w:t>
      </w:r>
      <w:r w:rsidRPr="00C862C2">
        <w:rPr>
          <w:rFonts w:ascii="Times New Roman" w:hAnsi="Times New Roman" w:cs="Times New Roman"/>
        </w:rPr>
        <w:t xml:space="preserve">(2023), The relationship between CSR disclosure and </w:t>
      </w:r>
      <w:proofErr w:type="spellStart"/>
      <w:r w:rsidRPr="00C862C2">
        <w:rPr>
          <w:rFonts w:ascii="Times New Roman" w:hAnsi="Times New Roman" w:cs="Times New Roman"/>
        </w:rPr>
        <w:t>accountingconservatism</w:t>
      </w:r>
      <w:proofErr w:type="spellEnd"/>
      <w:r w:rsidRPr="00C862C2">
        <w:rPr>
          <w:rFonts w:ascii="Times New Roman" w:hAnsi="Times New Roman" w:cs="Times New Roman"/>
        </w:rPr>
        <w:t>: The role of state ownership, Journal of International Accounting, Auditing and Taxation 50 (2023) 100522.</w:t>
      </w:r>
    </w:p>
    <w:p w14:paraId="76532D29"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lang w:val="es-ES"/>
        </w:rPr>
        <w:t xml:space="preserve">García Lara, J. M. G., Osma, B. G., &amp; Penalva, F. (2009). </w:t>
      </w:r>
      <w:r w:rsidRPr="00C862C2">
        <w:rPr>
          <w:rFonts w:ascii="Times New Roman" w:hAnsi="Times New Roman" w:cs="Times New Roman"/>
        </w:rPr>
        <w:t>Accounting conservatism and corporate governance. Review of Accounting Studies, 14(1), 161–201.</w:t>
      </w:r>
    </w:p>
    <w:p w14:paraId="6FF87986"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García Lara, J. M., García Osma, B., &amp; </w:t>
      </w:r>
      <w:proofErr w:type="spellStart"/>
      <w:r w:rsidRPr="00C862C2">
        <w:rPr>
          <w:rFonts w:ascii="Times New Roman" w:hAnsi="Times New Roman" w:cs="Times New Roman"/>
        </w:rPr>
        <w:t>Penalva</w:t>
      </w:r>
      <w:proofErr w:type="spellEnd"/>
      <w:r w:rsidRPr="00C862C2">
        <w:rPr>
          <w:rFonts w:ascii="Times New Roman" w:hAnsi="Times New Roman" w:cs="Times New Roman"/>
        </w:rPr>
        <w:t>, F. (2020). Conditional conservatism and the limits to earnings management. Journal of Accounting and Public Policy, 39(4).</w:t>
      </w:r>
    </w:p>
    <w:p w14:paraId="2A5AFECB"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Garcia-Sanchez, I. M., Cuadrado-Ballesteros, B., &amp; Sepulveda, C. (2014). Does media pressure moderate CSR disclosures by external directors? Management Decision, 52(6), 1014-1045.</w:t>
      </w:r>
    </w:p>
    <w:p w14:paraId="7FED87FC"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Ge, W., &amp; Liu, M. (2015). Corporate social responsibility and the cost of corporate bonds. Journal of Accounting and Public Policy, 34(6), 597–624.</w:t>
      </w:r>
    </w:p>
    <w:p w14:paraId="5686D15F" w14:textId="04B427A3"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Givoly</w:t>
      </w:r>
      <w:proofErr w:type="spellEnd"/>
      <w:r w:rsidRPr="00C862C2">
        <w:rPr>
          <w:rFonts w:ascii="Times New Roman" w:hAnsi="Times New Roman" w:cs="Times New Roman"/>
        </w:rPr>
        <w:t xml:space="preserve">, D., &amp; Hayn, C. (2000). The changing time-series properties of earnings, cash flows and accruals: Has financial reporting become more </w:t>
      </w:r>
      <w:proofErr w:type="gramStart"/>
      <w:r w:rsidRPr="00C862C2">
        <w:rPr>
          <w:rFonts w:ascii="Times New Roman" w:hAnsi="Times New Roman" w:cs="Times New Roman"/>
        </w:rPr>
        <w:t>conservative</w:t>
      </w:r>
      <w:r w:rsidRPr="00C862C2">
        <w:rPr>
          <w:rFonts w:ascii="Times New Roman" w:hAnsi="Times New Roman" w:cs="Times New Roman"/>
          <w:rtl/>
        </w:rPr>
        <w:t>?</w:t>
      </w:r>
      <w:r w:rsidR="00FD7D8D" w:rsidRPr="00C862C2">
        <w:rPr>
          <w:rFonts w:ascii="Times New Roman" w:hAnsi="Times New Roman" w:cs="Times New Roman"/>
        </w:rPr>
        <w:t>,</w:t>
      </w:r>
      <w:proofErr w:type="gramEnd"/>
      <w:r w:rsidR="00FD7D8D" w:rsidRPr="00C862C2">
        <w:rPr>
          <w:rFonts w:ascii="Times New Roman" w:hAnsi="Times New Roman" w:cs="Times New Roman"/>
        </w:rPr>
        <w:t xml:space="preserve"> </w:t>
      </w:r>
      <w:r w:rsidRPr="00C862C2">
        <w:rPr>
          <w:rFonts w:ascii="Times New Roman" w:hAnsi="Times New Roman" w:cs="Times New Roman"/>
        </w:rPr>
        <w:t>Journal of Accounting and Economics, 29(3), 287–320</w:t>
      </w:r>
    </w:p>
    <w:p w14:paraId="0D1B090C"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Goss, A., &amp; Roberts, G. S. (2011). The impact of corporate social responsibility on the cost of bank loans. Journal of Banking &amp; Finance, 35(7), 1794–1810.</w:t>
      </w:r>
    </w:p>
    <w:p w14:paraId="6136DB89"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Guo, J., Huang, P., &amp; Zhang, Y. (2020). Accounting conservatism and corporate social responsibility. Advances in Accounting, 51.</w:t>
      </w:r>
    </w:p>
    <w:p w14:paraId="1091103B"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Guthrie J, Petty R, and </w:t>
      </w:r>
      <w:proofErr w:type="spellStart"/>
      <w:r w:rsidRPr="00C862C2">
        <w:rPr>
          <w:rFonts w:ascii="Times New Roman" w:hAnsi="Times New Roman" w:cs="Times New Roman"/>
        </w:rPr>
        <w:t>Ricceri</w:t>
      </w:r>
      <w:proofErr w:type="spellEnd"/>
      <w:r w:rsidRPr="00C862C2">
        <w:rPr>
          <w:rFonts w:ascii="Times New Roman" w:hAnsi="Times New Roman" w:cs="Times New Roman"/>
        </w:rPr>
        <w:t xml:space="preserve"> F (2006). The voluntary reporting of intellectual capital: Comparing evidence from Hong Kong </w:t>
      </w:r>
      <w:proofErr w:type="spellStart"/>
      <w:r w:rsidRPr="00C862C2">
        <w:rPr>
          <w:rFonts w:ascii="Times New Roman" w:hAnsi="Times New Roman" w:cs="Times New Roman"/>
        </w:rPr>
        <w:t>andAustralia</w:t>
      </w:r>
      <w:proofErr w:type="spellEnd"/>
      <w:r w:rsidRPr="00C862C2">
        <w:rPr>
          <w:rFonts w:ascii="Times New Roman" w:hAnsi="Times New Roman" w:cs="Times New Roman"/>
        </w:rPr>
        <w:t>. Journal of Intellectual Capital, 7(2): 254-271.</w:t>
      </w:r>
    </w:p>
    <w:p w14:paraId="28286BC5"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Habib, A., &amp; Hasan, M. M. (2019). Corporate life cycle research in accounting, </w:t>
      </w:r>
      <w:proofErr w:type="spellStart"/>
      <w:r w:rsidRPr="00C862C2">
        <w:rPr>
          <w:rFonts w:ascii="Times New Roman" w:hAnsi="Times New Roman" w:cs="Times New Roman"/>
        </w:rPr>
        <w:t>financeand</w:t>
      </w:r>
      <w:proofErr w:type="spellEnd"/>
      <w:r w:rsidRPr="00C862C2">
        <w:rPr>
          <w:rFonts w:ascii="Times New Roman" w:hAnsi="Times New Roman" w:cs="Times New Roman"/>
        </w:rPr>
        <w:t xml:space="preserve"> corporate governance: A survey, and directions for future research. International Review of Financial Analysis, 61, 188–201.</w:t>
      </w:r>
    </w:p>
    <w:p w14:paraId="31BB3138"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Halme, M., Roome, N., &amp; Dobers, P. (2009). Corporate responsibility: Reflections on context and consequences. Scandinavian Journal of Management, 25, 1–9.</w:t>
      </w:r>
    </w:p>
    <w:p w14:paraId="755C0436"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Harjoto, M. A. (2017). Corporate social responsibility and corporate fraud. Social Responsibility Journal, 13(4), 762–779</w:t>
      </w:r>
    </w:p>
    <w:p w14:paraId="661A87C5"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Hartam</w:t>
      </w:r>
      <w:proofErr w:type="spellEnd"/>
      <w:r w:rsidRPr="00C862C2">
        <w:rPr>
          <w:rFonts w:ascii="Times New Roman" w:hAnsi="Times New Roman" w:cs="Times New Roman"/>
        </w:rPr>
        <w:t xml:space="preserve"> Wahid, </w:t>
      </w:r>
      <w:proofErr w:type="spellStart"/>
      <w:proofErr w:type="gramStart"/>
      <w:r w:rsidRPr="00C862C2">
        <w:rPr>
          <w:rFonts w:ascii="Times New Roman" w:hAnsi="Times New Roman" w:cs="Times New Roman"/>
        </w:rPr>
        <w:t>EtikKresnawati</w:t>
      </w:r>
      <w:proofErr w:type="spellEnd"/>
      <w:r w:rsidRPr="00C862C2">
        <w:rPr>
          <w:rFonts w:ascii="Times New Roman" w:hAnsi="Times New Roman" w:cs="Times New Roman"/>
        </w:rPr>
        <w:t>(</w:t>
      </w:r>
      <w:proofErr w:type="gramEnd"/>
      <w:r w:rsidRPr="00C862C2">
        <w:rPr>
          <w:rFonts w:ascii="Times New Roman" w:hAnsi="Times New Roman" w:cs="Times New Roman"/>
        </w:rPr>
        <w:t>2021), Accounting Conservatism and Earnings Management: Moderating Effect of the Corporate Life Cycle, Advances in Economics, Business and Management Research, volume 201.</w:t>
      </w:r>
    </w:p>
    <w:p w14:paraId="22D79006"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Harymawan</w:t>
      </w:r>
      <w:proofErr w:type="spellEnd"/>
      <w:r w:rsidRPr="00C862C2">
        <w:rPr>
          <w:rFonts w:ascii="Times New Roman" w:hAnsi="Times New Roman" w:cs="Times New Roman"/>
        </w:rPr>
        <w:t xml:space="preserve">, I., Putra, F. K. G., </w:t>
      </w:r>
      <w:proofErr w:type="spellStart"/>
      <w:r w:rsidRPr="00C862C2">
        <w:rPr>
          <w:rFonts w:ascii="Times New Roman" w:hAnsi="Times New Roman" w:cs="Times New Roman"/>
        </w:rPr>
        <w:t>Fianto</w:t>
      </w:r>
      <w:proofErr w:type="spellEnd"/>
      <w:r w:rsidRPr="00C862C2">
        <w:rPr>
          <w:rFonts w:ascii="Times New Roman" w:hAnsi="Times New Roman" w:cs="Times New Roman"/>
        </w:rPr>
        <w:t>, B. A., &amp; Wan Ismail, W. A. (2021). Financially distressed firms: Environmental, social, and governance reporting in Indonesia. Sustainability, 13(18), 10156.</w:t>
      </w:r>
    </w:p>
    <w:p w14:paraId="42BCE888"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Hasan, M. M; &amp; Habib, A. (2017). Corporate life cycle, organizational financial resources and corporate social responsibility. Journal of Contemporary Accounting and Economics, 13(1), 20–36</w:t>
      </w:r>
      <w:r w:rsidRPr="00C862C2">
        <w:rPr>
          <w:rFonts w:ascii="Times New Roman" w:hAnsi="Times New Roman" w:cs="Times New Roman"/>
          <w:rtl/>
        </w:rPr>
        <w:t>.</w:t>
      </w:r>
    </w:p>
    <w:p w14:paraId="643185A4"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Hasan, M. M; Al-Hadi, A; Taylor, G; &amp; Richardson, G. (2017). Does a firm’s life cycle explain its propensity to engage in corporate tax avoidance? The European Accounting Review, 26(3), 469–501</w:t>
      </w:r>
    </w:p>
    <w:p w14:paraId="5AE0D56B"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 xml:space="preserve">Hayati, N., Hejazi, R., Hosseini, S. A., &amp; Bastani, S. (2018). Extraction of environmental components from board activity reports using qualitative content analysis. </w:t>
      </w:r>
      <w:r w:rsidRPr="00C862C2">
        <w:rPr>
          <w:rStyle w:val="Emphasis"/>
          <w:i w:val="0"/>
          <w:iCs w:val="0"/>
          <w:sz w:val="22"/>
          <w:szCs w:val="22"/>
        </w:rPr>
        <w:t>Empirical Accounting Research, 7</w:t>
      </w:r>
      <w:r w:rsidRPr="00C862C2">
        <w:rPr>
          <w:sz w:val="22"/>
          <w:szCs w:val="22"/>
        </w:rPr>
        <w:t>(28), 43–70.</w:t>
      </w:r>
    </w:p>
    <w:p w14:paraId="7E6858D6"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Heidari, M., Aliakbarlou, A., &amp;</w:t>
      </w:r>
      <w:proofErr w:type="spellStart"/>
      <w:r w:rsidRPr="00C862C2">
        <w:rPr>
          <w:sz w:val="22"/>
          <w:szCs w:val="22"/>
        </w:rPr>
        <w:t>Khakpour</w:t>
      </w:r>
      <w:proofErr w:type="spellEnd"/>
      <w:r w:rsidRPr="00C862C2">
        <w:rPr>
          <w:sz w:val="22"/>
          <w:szCs w:val="22"/>
        </w:rPr>
        <w:t xml:space="preserve"> Heydaranlou, E. (2022). Investigating the impact of financial distress and growth opportunities on accounting conservatism with the moderating role of managerial overconfidence. </w:t>
      </w:r>
      <w:r w:rsidRPr="00C862C2">
        <w:rPr>
          <w:rStyle w:val="Emphasis"/>
          <w:i w:val="0"/>
          <w:iCs w:val="0"/>
          <w:sz w:val="22"/>
          <w:szCs w:val="22"/>
        </w:rPr>
        <w:t>Empirical Studies of Financial Accounting, 19</w:t>
      </w:r>
      <w:r w:rsidRPr="00C862C2">
        <w:rPr>
          <w:sz w:val="22"/>
          <w:szCs w:val="22"/>
        </w:rPr>
        <w:t>(74), 177–208.</w:t>
      </w:r>
    </w:p>
    <w:p w14:paraId="04250A53"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 xml:space="preserve">Hekmat, H., </w:t>
      </w:r>
      <w:proofErr w:type="spellStart"/>
      <w:r w:rsidRPr="00C862C2">
        <w:rPr>
          <w:sz w:val="22"/>
          <w:szCs w:val="22"/>
        </w:rPr>
        <w:t>Heidarzadeh</w:t>
      </w:r>
      <w:proofErr w:type="spellEnd"/>
      <w:r w:rsidRPr="00C862C2">
        <w:rPr>
          <w:sz w:val="22"/>
          <w:szCs w:val="22"/>
        </w:rPr>
        <w:t xml:space="preserve"> Khalifeh Kandi, V., &amp; Ghorbani, R. (2024). The moderating role of conservatism on the relationship between audit quality and earnings management. </w:t>
      </w:r>
      <w:r w:rsidRPr="00C862C2">
        <w:rPr>
          <w:rStyle w:val="Emphasis"/>
          <w:i w:val="0"/>
          <w:iCs w:val="0"/>
          <w:sz w:val="22"/>
          <w:szCs w:val="22"/>
        </w:rPr>
        <w:t>Empirical Studies in Financial Accounting</w:t>
      </w:r>
      <w:r w:rsidRPr="00C862C2">
        <w:rPr>
          <w:sz w:val="22"/>
          <w:szCs w:val="22"/>
        </w:rPr>
        <w:t>, 21(83), 121–162.</w:t>
      </w:r>
    </w:p>
    <w:p w14:paraId="1C09B9F1"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Honarbakhsh</w:t>
      </w:r>
      <w:proofErr w:type="spellEnd"/>
      <w:r w:rsidRPr="00C862C2">
        <w:rPr>
          <w:rFonts w:ascii="Times New Roman" w:hAnsi="Times New Roman" w:cs="Times New Roman"/>
        </w:rPr>
        <w:t xml:space="preserve"> Samira (2022), The Relationship between Corporate Governance Factors and Accounting Conservatism (Based on Basu's Model Evaluation), Journal of Money and Economy, Vol. 17, No. 1, pp. 43-66</w:t>
      </w:r>
    </w:p>
    <w:p w14:paraId="3C2F1756"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Hong, Y., &amp; Andersen, M. L. (2011). The relationship between corporate social responsibility and earnings management: An exploratory study. Journal </w:t>
      </w:r>
      <w:proofErr w:type="spellStart"/>
      <w:r w:rsidRPr="00C862C2">
        <w:rPr>
          <w:rFonts w:ascii="Times New Roman" w:hAnsi="Times New Roman" w:cs="Times New Roman"/>
        </w:rPr>
        <w:t>ofBusiness</w:t>
      </w:r>
      <w:proofErr w:type="spellEnd"/>
      <w:r w:rsidRPr="00C862C2">
        <w:rPr>
          <w:rFonts w:ascii="Times New Roman" w:hAnsi="Times New Roman" w:cs="Times New Roman"/>
        </w:rPr>
        <w:t xml:space="preserve"> Ethics, 104(4), 461–471</w:t>
      </w:r>
    </w:p>
    <w:p w14:paraId="759F0E56"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Huang, J.-C., Tseng, J.-J., &amp; Lin, H.-C. (2020). The impact of financial constraint on firm growth: An organizational life cycle perspective and evidence from Taiwan. The International Journal of Organizational Innovation, 12(3), 266</w:t>
      </w:r>
    </w:p>
    <w:p w14:paraId="71F6001C"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Huang, P., Huang, H. Y., &amp; Zhang, Y. (2019). Do firms hedge with foreign currency derivatives for employees? Journal of Financial Economics, 133(2), 418–440.</w:t>
      </w:r>
    </w:p>
    <w:p w14:paraId="056F3094"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Humaeroh</w:t>
      </w:r>
      <w:proofErr w:type="spellEnd"/>
      <w:r w:rsidRPr="00C862C2">
        <w:rPr>
          <w:rFonts w:ascii="Times New Roman" w:hAnsi="Times New Roman" w:cs="Times New Roman"/>
        </w:rPr>
        <w:t xml:space="preserve">, S. (2016). The Effect of Good Corporate Governance, Growth Opportunities and Sales Growth to Accounting Conservatism (Bachelor's thesis, Jakarta: </w:t>
      </w:r>
      <w:proofErr w:type="spellStart"/>
      <w:r w:rsidRPr="00C862C2">
        <w:rPr>
          <w:rFonts w:ascii="Times New Roman" w:hAnsi="Times New Roman" w:cs="Times New Roman"/>
        </w:rPr>
        <w:t>Fakultas</w:t>
      </w:r>
      <w:proofErr w:type="spellEnd"/>
      <w:r w:rsidRPr="00C862C2">
        <w:rPr>
          <w:rFonts w:ascii="Times New Roman" w:hAnsi="Times New Roman" w:cs="Times New Roman"/>
        </w:rPr>
        <w:t xml:space="preserve"> Ekonomi dan </w:t>
      </w:r>
      <w:proofErr w:type="spellStart"/>
      <w:r w:rsidRPr="00C862C2">
        <w:rPr>
          <w:rFonts w:ascii="Times New Roman" w:hAnsi="Times New Roman" w:cs="Times New Roman"/>
        </w:rPr>
        <w:t>Bisnis</w:t>
      </w:r>
      <w:proofErr w:type="spellEnd"/>
      <w:r w:rsidRPr="00C862C2">
        <w:rPr>
          <w:rFonts w:ascii="Times New Roman" w:hAnsi="Times New Roman" w:cs="Times New Roman"/>
        </w:rPr>
        <w:t xml:space="preserve"> UIN </w:t>
      </w:r>
      <w:proofErr w:type="spellStart"/>
      <w:r w:rsidRPr="00C862C2">
        <w:rPr>
          <w:rFonts w:ascii="Times New Roman" w:hAnsi="Times New Roman" w:cs="Times New Roman"/>
        </w:rPr>
        <w:t>Syarif</w:t>
      </w:r>
      <w:proofErr w:type="spellEnd"/>
      <w:r w:rsidRPr="00C862C2">
        <w:rPr>
          <w:rFonts w:ascii="Times New Roman" w:hAnsi="Times New Roman" w:cs="Times New Roman"/>
        </w:rPr>
        <w:t xml:space="preserve"> Hidayatullah Jakarta).</w:t>
      </w:r>
    </w:p>
    <w:p w14:paraId="15A761BA"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Hwang Tang-Lin, Yu-Hong </w:t>
      </w:r>
      <w:proofErr w:type="gramStart"/>
      <w:r w:rsidRPr="00C862C2">
        <w:rPr>
          <w:rFonts w:ascii="Times New Roman" w:hAnsi="Times New Roman" w:cs="Times New Roman"/>
        </w:rPr>
        <w:t>Liu(</w:t>
      </w:r>
      <w:proofErr w:type="gramEnd"/>
      <w:r w:rsidRPr="00C862C2">
        <w:rPr>
          <w:rFonts w:ascii="Times New Roman" w:hAnsi="Times New Roman" w:cs="Times New Roman"/>
        </w:rPr>
        <w:t xml:space="preserve">2025), How ESG engagement shapes firm life cycle progression: </w:t>
      </w:r>
      <w:proofErr w:type="spellStart"/>
      <w:r w:rsidRPr="00C862C2">
        <w:rPr>
          <w:rFonts w:ascii="Times New Roman" w:hAnsi="Times New Roman" w:cs="Times New Roman"/>
        </w:rPr>
        <w:t>Evidencefrom</w:t>
      </w:r>
      <w:proofErr w:type="spellEnd"/>
      <w:r w:rsidRPr="00C862C2">
        <w:rPr>
          <w:rFonts w:ascii="Times New Roman" w:hAnsi="Times New Roman" w:cs="Times New Roman"/>
        </w:rPr>
        <w:t xml:space="preserve"> U.S. </w:t>
      </w:r>
      <w:proofErr w:type="spellStart"/>
      <w:proofErr w:type="gramStart"/>
      <w:r w:rsidRPr="00C862C2">
        <w:rPr>
          <w:rFonts w:ascii="Times New Roman" w:hAnsi="Times New Roman" w:cs="Times New Roman"/>
        </w:rPr>
        <w:t>data,Finance</w:t>
      </w:r>
      <w:proofErr w:type="spellEnd"/>
      <w:proofErr w:type="gramEnd"/>
      <w:r w:rsidRPr="00C862C2">
        <w:rPr>
          <w:rFonts w:ascii="Times New Roman" w:hAnsi="Times New Roman" w:cs="Times New Roman"/>
        </w:rPr>
        <w:t xml:space="preserve"> Research Letters 83 (2025) 107589.</w:t>
      </w:r>
    </w:p>
    <w:p w14:paraId="515CECBE"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 xml:space="preserve">Jahanbakhsh, S., </w:t>
      </w:r>
      <w:proofErr w:type="spellStart"/>
      <w:r w:rsidRPr="00C862C2">
        <w:rPr>
          <w:sz w:val="22"/>
          <w:szCs w:val="22"/>
        </w:rPr>
        <w:t>Esmailzadeh</w:t>
      </w:r>
      <w:proofErr w:type="spellEnd"/>
      <w:r w:rsidRPr="00C862C2">
        <w:rPr>
          <w:sz w:val="22"/>
          <w:szCs w:val="22"/>
        </w:rPr>
        <w:t xml:space="preserve"> Maghari, A., &amp;</w:t>
      </w:r>
      <w:proofErr w:type="spellStart"/>
      <w:r w:rsidRPr="00C862C2">
        <w:rPr>
          <w:sz w:val="22"/>
          <w:szCs w:val="22"/>
        </w:rPr>
        <w:t>Ataeizadeh</w:t>
      </w:r>
      <w:proofErr w:type="spellEnd"/>
      <w:r w:rsidRPr="00C862C2">
        <w:rPr>
          <w:sz w:val="22"/>
          <w:szCs w:val="22"/>
        </w:rPr>
        <w:t xml:space="preserve">, R. (2017). The relationship between risk management, conservatism, and operating cash flow. </w:t>
      </w:r>
      <w:r w:rsidRPr="00C862C2">
        <w:rPr>
          <w:rStyle w:val="Emphasis"/>
          <w:i w:val="0"/>
          <w:iCs w:val="0"/>
          <w:sz w:val="22"/>
          <w:szCs w:val="22"/>
        </w:rPr>
        <w:t>Financial Accounting and Auditing Research, 9</w:t>
      </w:r>
      <w:r w:rsidRPr="00C862C2">
        <w:rPr>
          <w:sz w:val="22"/>
          <w:szCs w:val="22"/>
        </w:rPr>
        <w:t>(35), 65–93.</w:t>
      </w:r>
    </w:p>
    <w:p w14:paraId="74F31C7F"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Jamali, D., &amp;</w:t>
      </w:r>
      <w:proofErr w:type="spellStart"/>
      <w:r w:rsidRPr="00C862C2">
        <w:rPr>
          <w:rFonts w:ascii="Times New Roman" w:hAnsi="Times New Roman" w:cs="Times New Roman"/>
        </w:rPr>
        <w:t>Mirshak</w:t>
      </w:r>
      <w:proofErr w:type="spellEnd"/>
      <w:r w:rsidRPr="00C862C2">
        <w:rPr>
          <w:rFonts w:ascii="Times New Roman" w:hAnsi="Times New Roman" w:cs="Times New Roman"/>
        </w:rPr>
        <w:t>, R. (2007). Corporate social responsibility (CSR): Theory and practice in a developing country context. Journal of Business Ethics, 72</w:t>
      </w:r>
      <w:r w:rsidRPr="00C862C2">
        <w:rPr>
          <w:rFonts w:ascii="Times New Roman" w:hAnsi="Times New Roman" w:cs="Times New Roman"/>
          <w:rtl/>
        </w:rPr>
        <w:t>,</w:t>
      </w:r>
      <w:r w:rsidRPr="00C862C2">
        <w:rPr>
          <w:rFonts w:ascii="Times New Roman" w:hAnsi="Times New Roman" w:cs="Times New Roman"/>
        </w:rPr>
        <w:t>243–262</w:t>
      </w:r>
    </w:p>
    <w:p w14:paraId="2D992E6C"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Jamali, D., &amp; Neville, B. (2011). Convergence versus divergence of CSR in developing countries: An embedded multi-layered institutional lens. Journal </w:t>
      </w:r>
      <w:proofErr w:type="spellStart"/>
      <w:r w:rsidRPr="00C862C2">
        <w:rPr>
          <w:rFonts w:ascii="Times New Roman" w:hAnsi="Times New Roman" w:cs="Times New Roman"/>
        </w:rPr>
        <w:t>ofBusiness</w:t>
      </w:r>
      <w:proofErr w:type="spellEnd"/>
      <w:r w:rsidRPr="00C862C2">
        <w:rPr>
          <w:rFonts w:ascii="Times New Roman" w:hAnsi="Times New Roman" w:cs="Times New Roman"/>
        </w:rPr>
        <w:t xml:space="preserve"> Ethics, 102, 599–621</w:t>
      </w:r>
    </w:p>
    <w:p w14:paraId="6896A97E"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Jensen, M.C. &amp; W.H. Meckling (1976), “Theory of the Firm: Managerial Behavior, Agency Costs and Ownership Structure”, Journal of Financial Economics, 3(4), 305-360.</w:t>
      </w:r>
    </w:p>
    <w:p w14:paraId="76F132D1"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Jiao, Y. (2010). Stakeholder welfare and firm value. Journal of Banking &amp; Finance, 34(10), 2549–2561</w:t>
      </w:r>
    </w:p>
    <w:p w14:paraId="1E377949"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KALASH Ismail (2020), Environmental Disclosure: Determinants and Effects on Financial Performance? An Empirical Evidence from Turkey, </w:t>
      </w:r>
      <w:proofErr w:type="spellStart"/>
      <w:r w:rsidRPr="00C862C2">
        <w:rPr>
          <w:rFonts w:ascii="Times New Roman" w:hAnsi="Times New Roman" w:cs="Times New Roman"/>
        </w:rPr>
        <w:t>Sosyoekonomi</w:t>
      </w:r>
      <w:proofErr w:type="spellEnd"/>
      <w:r w:rsidRPr="00C862C2">
        <w:rPr>
          <w:rFonts w:ascii="Times New Roman" w:hAnsi="Times New Roman" w:cs="Times New Roman"/>
        </w:rPr>
        <w:t>, Vol. 28(46), 95-115</w:t>
      </w:r>
    </w:p>
    <w:p w14:paraId="513494A6"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Khan, M., &amp; Watts, R. L. (2009). Estimation and empirical properties of a firm-year measure of accounting conservatism. Journal of Accounting and Economics, 48(2</w:t>
      </w:r>
      <w:r w:rsidRPr="00C862C2">
        <w:rPr>
          <w:rFonts w:ascii="Times New Roman" w:eastAsia="TimesNewRomanPSMT" w:hAnsi="Times New Roman" w:cs="Times New Roman"/>
        </w:rPr>
        <w:t>–</w:t>
      </w:r>
      <w:r w:rsidRPr="00C862C2">
        <w:rPr>
          <w:rFonts w:ascii="Times New Roman" w:hAnsi="Times New Roman" w:cs="Times New Roman"/>
        </w:rPr>
        <w:t>3), 132</w:t>
      </w:r>
      <w:r w:rsidRPr="00C862C2">
        <w:rPr>
          <w:rFonts w:ascii="Times New Roman" w:eastAsia="TimesNewRomanPSMT" w:hAnsi="Times New Roman" w:cs="Times New Roman"/>
        </w:rPr>
        <w:t>–</w:t>
      </w:r>
      <w:r w:rsidRPr="00C862C2">
        <w:rPr>
          <w:rFonts w:ascii="Times New Roman" w:hAnsi="Times New Roman" w:cs="Times New Roman"/>
        </w:rPr>
        <w:t>150</w:t>
      </w:r>
    </w:p>
    <w:p w14:paraId="693787CF"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Kim, Y., Park, M. S., &amp; Wier, B. (2012). Is earnings quality associated with corporate social responsibility? The Accounting Review, 87(3), 761–796.</w:t>
      </w:r>
    </w:p>
    <w:p w14:paraId="1261F26F"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Kurniawan M and Wibowo DH (2009). Analysis on accounting conservatism and CSR disclosures of Indonesian banks listed on IDX from 2004 to 2007. Journal of Applied Finance and Accounting, 2(1): 13-30.</w:t>
      </w:r>
    </w:p>
    <w:p w14:paraId="529E44D2"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Kuznetsov, A., Kuznetsova, O., &amp; Warren, R. (2009). CSR and the legitimacy of business in transition economies: The case of Russia. Scandinavian Journal </w:t>
      </w:r>
      <w:proofErr w:type="spellStart"/>
      <w:r w:rsidRPr="00C862C2">
        <w:rPr>
          <w:rFonts w:ascii="Times New Roman" w:hAnsi="Times New Roman" w:cs="Times New Roman"/>
        </w:rPr>
        <w:t>ofManagement</w:t>
      </w:r>
      <w:proofErr w:type="spellEnd"/>
      <w:r w:rsidRPr="00C862C2">
        <w:rPr>
          <w:rFonts w:ascii="Times New Roman" w:hAnsi="Times New Roman" w:cs="Times New Roman"/>
        </w:rPr>
        <w:t>, 25(1), 37–45</w:t>
      </w:r>
    </w:p>
    <w:p w14:paraId="1CC3047B"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Labelle, R., Gargouri, R. M., &amp; Francoeur, C. (2010). Ethics, diversity management, and financial reporting quality. Journal of Business Ethics, 93(2), 335–353.</w:t>
      </w:r>
    </w:p>
    <w:p w14:paraId="008FB482"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LaFond, R., &amp; Watts, R. L. (2008). The Information Role of Conservatism. The Accounting Review, 83(2), 447</w:t>
      </w:r>
      <w:r w:rsidRPr="00C862C2">
        <w:rPr>
          <w:rFonts w:ascii="Times New Roman" w:eastAsia="TimesNewRomanPSMT" w:hAnsi="Times New Roman" w:cs="Times New Roman"/>
        </w:rPr>
        <w:t>–</w:t>
      </w:r>
      <w:r w:rsidRPr="00C862C2">
        <w:rPr>
          <w:rFonts w:ascii="Times New Roman" w:hAnsi="Times New Roman" w:cs="Times New Roman"/>
        </w:rPr>
        <w:t>478</w:t>
      </w:r>
    </w:p>
    <w:p w14:paraId="240CA031"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Langberg N and Sivaramakrishnan K (2008). Voluntary disclosures and information production by analysts. Journal of Accounting and Economics, 46(1): 78-100.</w:t>
      </w:r>
    </w:p>
    <w:p w14:paraId="136A3DCA"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Lannelongue</w:t>
      </w:r>
      <w:proofErr w:type="spellEnd"/>
      <w:r w:rsidRPr="00C862C2">
        <w:rPr>
          <w:rFonts w:ascii="Times New Roman" w:hAnsi="Times New Roman" w:cs="Times New Roman"/>
        </w:rPr>
        <w:t>, G., Gonzalez-Benito, J., Gonzalez-Benito, O., 2015. Input, output, and environmental management productivity: Effects on firm performance. Bus. Strategy. Environ. 24, 145–158.</w:t>
      </w:r>
    </w:p>
    <w:p w14:paraId="6DD12005"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Lee, D. D., &amp; Faff, R. W. (2009). Corporate sustainability performance and idiosyncratic risk: A global perspective. Financial Review, 44(2), 213– 237</w:t>
      </w:r>
    </w:p>
    <w:p w14:paraId="0AC659C4"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Lee, W. J., &amp; Choi, S. U. (2018). Effects of corporate life cycle on corporate social responsibility: Evidence from Korea. Sustainability, 10(10), 3794</w:t>
      </w:r>
    </w:p>
    <w:p w14:paraId="766E6C52"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Li, Y., Gong, M., Zhang, X. Y. &amp; Koh, L. (2018). The impact of environmental, social, and governance disclosure on firm value: The role of CEO power. The British Accounting Review, 50(1), 60-75</w:t>
      </w:r>
    </w:p>
    <w:p w14:paraId="053E87DE"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Lu, L. Y., Shailer, G., &amp; Yu, Y. (2017). Corporate social responsibility disclosure and the value of cash holdings. The European Accounting Review, 26(4), 729–753</w:t>
      </w:r>
    </w:p>
    <w:p w14:paraId="4AEF0FB6"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Madsen, H., Ulhøi, J.P., 2016. Corporate environmental initiatives in small and medium sized enterprises and their outcomes: a longitudinal study. Bus. Strat. Environ. 25, 92–101.</w:t>
      </w:r>
    </w:p>
    <w:p w14:paraId="503A9E92"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 xml:space="preserve">Maleki, E. S., Ebrahimi, S. K., &amp; Jalali, F. (2019). The effect of corporate life cycle on the level of accounting conservatism. </w:t>
      </w:r>
      <w:r w:rsidRPr="00C862C2">
        <w:rPr>
          <w:rStyle w:val="Emphasis"/>
          <w:i w:val="0"/>
          <w:iCs w:val="0"/>
          <w:sz w:val="22"/>
          <w:szCs w:val="22"/>
        </w:rPr>
        <w:t>Financial Accounting and Auditing Research, 11</w:t>
      </w:r>
      <w:r w:rsidRPr="00C862C2">
        <w:rPr>
          <w:sz w:val="22"/>
          <w:szCs w:val="22"/>
        </w:rPr>
        <w:t>(44), 59–78.</w:t>
      </w:r>
    </w:p>
    <w:p w14:paraId="73E21EA1"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Marano, V., Tashman, P., &amp; Kostova, T. (2017). Escaping the iron cage: Liabilities of origin and CSR reporting of emerging market multinational </w:t>
      </w:r>
      <w:proofErr w:type="gramStart"/>
      <w:r w:rsidRPr="00C862C2">
        <w:rPr>
          <w:rFonts w:ascii="Times New Roman" w:hAnsi="Times New Roman" w:cs="Times New Roman"/>
        </w:rPr>
        <w:t>enterprises</w:t>
      </w:r>
      <w:r w:rsidRPr="00C862C2">
        <w:rPr>
          <w:rFonts w:ascii="Times New Roman" w:hAnsi="Times New Roman" w:cs="Times New Roman"/>
          <w:rtl/>
        </w:rPr>
        <w:t>.</w:t>
      </w:r>
      <w:r w:rsidRPr="00C862C2">
        <w:rPr>
          <w:rFonts w:ascii="Times New Roman" w:hAnsi="Times New Roman" w:cs="Times New Roman"/>
        </w:rPr>
        <w:t>Journal</w:t>
      </w:r>
      <w:proofErr w:type="gramEnd"/>
      <w:r w:rsidRPr="00C862C2">
        <w:rPr>
          <w:rFonts w:ascii="Times New Roman" w:hAnsi="Times New Roman" w:cs="Times New Roman"/>
        </w:rPr>
        <w:t xml:space="preserve"> of International Business Studies, 48(3), 386–408</w:t>
      </w:r>
    </w:p>
    <w:p w14:paraId="44BDED4A"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McNichols, M. F. (2000). Research design issues in earnings management studies. Journal of Accounting and Public Policy, 19(4-5), 313-345</w:t>
      </w:r>
    </w:p>
    <w:p w14:paraId="454511D0"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McWilliams, A., Siegel, D. S., &amp; Wright, P. M. (2006). Corporate social responsibility: Strategic implications. Journal of Management Studies, 43(1), 1–18.</w:t>
      </w:r>
    </w:p>
    <w:p w14:paraId="05C941EA"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Miller, D., &amp; Friesen, P. H. (1980). A longitudinal study of the corporate life cycle. Management Science, 30(10), 1143-1263</w:t>
      </w:r>
    </w:p>
    <w:p w14:paraId="14F27053"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Mitchell, N. J. (1989). The generous corporation: A political analysis of economic power. Yale University Press.</w:t>
      </w:r>
    </w:p>
    <w:p w14:paraId="33CBCA1D" w14:textId="03AA5E82"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Moreira </w:t>
      </w:r>
      <w:proofErr w:type="spellStart"/>
      <w:r w:rsidRPr="00C862C2">
        <w:rPr>
          <w:rFonts w:ascii="Times New Roman" w:hAnsi="Times New Roman" w:cs="Times New Roman"/>
        </w:rPr>
        <w:t>Caritsa</w:t>
      </w:r>
      <w:proofErr w:type="spellEnd"/>
      <w:r w:rsidRPr="00C862C2">
        <w:rPr>
          <w:rFonts w:ascii="Times New Roman" w:hAnsi="Times New Roman" w:cs="Times New Roman"/>
        </w:rPr>
        <w:t xml:space="preserve"> Scartaty, Jaqueline G. R. de Araújo, Gilson Rodrigues da Silva, Wenner </w:t>
      </w:r>
      <w:proofErr w:type="spellStart"/>
      <w:r w:rsidRPr="00C862C2">
        <w:rPr>
          <w:rFonts w:ascii="Times New Roman" w:hAnsi="Times New Roman" w:cs="Times New Roman"/>
        </w:rPr>
        <w:t>Glaucio</w:t>
      </w:r>
      <w:proofErr w:type="spellEnd"/>
      <w:r w:rsidRPr="00C862C2">
        <w:rPr>
          <w:rFonts w:ascii="Times New Roman" w:hAnsi="Times New Roman" w:cs="Times New Roman"/>
        </w:rPr>
        <w:t xml:space="preserve"> Lopes Lucena</w:t>
      </w:r>
      <w:r w:rsidR="00FD7D8D" w:rsidRPr="00C862C2">
        <w:rPr>
          <w:rFonts w:ascii="Times New Roman" w:hAnsi="Times New Roman" w:cs="Times New Roman"/>
        </w:rPr>
        <w:t xml:space="preserve"> </w:t>
      </w:r>
      <w:r w:rsidRPr="00C862C2">
        <w:rPr>
          <w:rFonts w:ascii="Times New Roman" w:hAnsi="Times New Roman" w:cs="Times New Roman"/>
        </w:rPr>
        <w:t>(2023), Environmental, social and governance and the firm life cycle</w:t>
      </w:r>
      <w:r w:rsidRPr="00C862C2">
        <w:rPr>
          <w:rFonts w:ascii="Times New Roman" w:hAnsi="Times New Roman" w:cs="Times New Roman"/>
          <w:rtl/>
        </w:rPr>
        <w:t>:</w:t>
      </w:r>
      <w:r w:rsidRPr="00C862C2">
        <w:rPr>
          <w:rFonts w:ascii="Times New Roman" w:hAnsi="Times New Roman" w:cs="Times New Roman"/>
        </w:rPr>
        <w:t xml:space="preserve"> evidence from the Brazilian market, </w:t>
      </w:r>
      <w:proofErr w:type="spellStart"/>
      <w:r w:rsidRPr="00C862C2">
        <w:rPr>
          <w:rFonts w:ascii="Times New Roman" w:hAnsi="Times New Roman" w:cs="Times New Roman"/>
        </w:rPr>
        <w:t>Rev.Contab</w:t>
      </w:r>
      <w:proofErr w:type="spellEnd"/>
      <w:r w:rsidRPr="00C862C2">
        <w:rPr>
          <w:rFonts w:ascii="Times New Roman" w:hAnsi="Times New Roman" w:cs="Times New Roman"/>
        </w:rPr>
        <w:t xml:space="preserve">. </w:t>
      </w:r>
      <w:proofErr w:type="spellStart"/>
      <w:r w:rsidRPr="00C862C2">
        <w:rPr>
          <w:rFonts w:ascii="Times New Roman" w:hAnsi="Times New Roman" w:cs="Times New Roman"/>
        </w:rPr>
        <w:t>Finanç</w:t>
      </w:r>
      <w:proofErr w:type="spellEnd"/>
      <w:r w:rsidRPr="00C862C2">
        <w:rPr>
          <w:rFonts w:ascii="Times New Roman" w:hAnsi="Times New Roman" w:cs="Times New Roman"/>
        </w:rPr>
        <w:t>. – USP, São Paulo, v. 34, n. 92, e1729.</w:t>
      </w:r>
    </w:p>
    <w:p w14:paraId="2C158996"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Nakhai, H., &amp;</w:t>
      </w:r>
      <w:proofErr w:type="spellStart"/>
      <w:r w:rsidRPr="00C862C2">
        <w:rPr>
          <w:sz w:val="22"/>
          <w:szCs w:val="22"/>
        </w:rPr>
        <w:t>Bandanipour</w:t>
      </w:r>
      <w:proofErr w:type="spellEnd"/>
      <w:r w:rsidRPr="00C862C2">
        <w:rPr>
          <w:sz w:val="22"/>
          <w:szCs w:val="22"/>
        </w:rPr>
        <w:t xml:space="preserve">, M. (2020). Investigating the impact of accounting conservatism on firm size in companies listed on the Tehran Stock Exchange. </w:t>
      </w:r>
      <w:r w:rsidRPr="00C862C2">
        <w:rPr>
          <w:rStyle w:val="Emphasis"/>
          <w:i w:val="0"/>
          <w:iCs w:val="0"/>
          <w:sz w:val="22"/>
          <w:szCs w:val="22"/>
        </w:rPr>
        <w:t>Journal of New Research Approaches in Management Sciences, 17</w:t>
      </w:r>
      <w:r w:rsidRPr="00C862C2">
        <w:rPr>
          <w:sz w:val="22"/>
          <w:szCs w:val="22"/>
        </w:rPr>
        <w:t>(1), 1–16.</w:t>
      </w:r>
    </w:p>
    <w:p w14:paraId="514C0B2B"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Oikonomou, I., Brooks, C., &amp;</w:t>
      </w:r>
      <w:proofErr w:type="spellStart"/>
      <w:r w:rsidRPr="00C862C2">
        <w:rPr>
          <w:rFonts w:ascii="Times New Roman" w:hAnsi="Times New Roman" w:cs="Times New Roman"/>
        </w:rPr>
        <w:t>Pavelin</w:t>
      </w:r>
      <w:proofErr w:type="spellEnd"/>
      <w:r w:rsidRPr="00C862C2">
        <w:rPr>
          <w:rFonts w:ascii="Times New Roman" w:hAnsi="Times New Roman" w:cs="Times New Roman"/>
        </w:rPr>
        <w:t>, S. (2012). The impact of corporate social performance on financial risk and utility: A longitudinal analysis. Financial Management, 41(2), 483–515</w:t>
      </w:r>
    </w:p>
    <w:p w14:paraId="6D555BFE"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Parsa, S., Dai, N., Belal, A., Li, T., &amp; Tang, G. (2021). Corporate social responsibility reporting in China: Political, social and corporate influences. Accounting </w:t>
      </w:r>
      <w:proofErr w:type="spellStart"/>
      <w:r w:rsidRPr="00C862C2">
        <w:rPr>
          <w:rFonts w:ascii="Times New Roman" w:hAnsi="Times New Roman" w:cs="Times New Roman"/>
        </w:rPr>
        <w:t>andBusiness</w:t>
      </w:r>
      <w:proofErr w:type="spellEnd"/>
      <w:r w:rsidRPr="00C862C2">
        <w:rPr>
          <w:rFonts w:ascii="Times New Roman" w:hAnsi="Times New Roman" w:cs="Times New Roman"/>
        </w:rPr>
        <w:t xml:space="preserve"> Research, 51(1), 36–64</w:t>
      </w:r>
    </w:p>
    <w:p w14:paraId="7EB70446"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Pereira Cláudia, Albertina Paula Monteiro, Francisco Barbosa, César Coutinho (2021), Environmental sustainability disclosure and accounting conservatism, International Journal of Advanced and Applied Sciences, 8(9) 2021, Pages: 63-74.</w:t>
      </w:r>
    </w:p>
    <w:p w14:paraId="4E2BEBF0"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Pietro, F, D., Sánchez, M, J. and Roldán, J, L. (2017). Regional development and capital structure of SMEs. </w:t>
      </w:r>
      <w:proofErr w:type="spellStart"/>
      <w:r w:rsidRPr="00C862C2">
        <w:rPr>
          <w:rFonts w:ascii="Times New Roman" w:hAnsi="Times New Roman" w:cs="Times New Roman"/>
        </w:rPr>
        <w:t>Cuadernos</w:t>
      </w:r>
      <w:proofErr w:type="spellEnd"/>
      <w:r w:rsidRPr="00C862C2">
        <w:rPr>
          <w:rFonts w:ascii="Times New Roman" w:hAnsi="Times New Roman" w:cs="Times New Roman"/>
        </w:rPr>
        <w:t xml:space="preserve"> de </w:t>
      </w:r>
      <w:proofErr w:type="spellStart"/>
      <w:r w:rsidRPr="00C862C2">
        <w:rPr>
          <w:rFonts w:ascii="Times New Roman" w:hAnsi="Times New Roman" w:cs="Times New Roman"/>
        </w:rPr>
        <w:t>Gestión</w:t>
      </w:r>
      <w:proofErr w:type="spellEnd"/>
      <w:r w:rsidRPr="00C862C2">
        <w:rPr>
          <w:rFonts w:ascii="Times New Roman" w:hAnsi="Times New Roman" w:cs="Times New Roman"/>
        </w:rPr>
        <w:t>, 18 (1), 37-60.</w:t>
      </w:r>
    </w:p>
    <w:p w14:paraId="06072F6E"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Quinn, R. E., &amp; Cameron, K. (1983). Organizational life cycles and shifting criteria of effectiveness: Some preliminary evidence. Management science, 29(1), 33-51.</w:t>
      </w:r>
    </w:p>
    <w:p w14:paraId="5CB34F3F"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Robertson, D. (2009). Corporate social responsibility and different stages of economic development: Singapore, Turkey, and Ethiopia. Journal of </w:t>
      </w:r>
      <w:proofErr w:type="spellStart"/>
      <w:r w:rsidRPr="00C862C2">
        <w:rPr>
          <w:rFonts w:ascii="Times New Roman" w:hAnsi="Times New Roman" w:cs="Times New Roman"/>
        </w:rPr>
        <w:t>BusinessEthics</w:t>
      </w:r>
      <w:proofErr w:type="spellEnd"/>
      <w:r w:rsidRPr="00C862C2">
        <w:rPr>
          <w:rFonts w:ascii="Times New Roman" w:hAnsi="Times New Roman" w:cs="Times New Roman"/>
        </w:rPr>
        <w:t>, 88(4), 617–633</w:t>
      </w:r>
    </w:p>
    <w:p w14:paraId="65F41E3E"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Ruch, G. W., &amp; Taylor, G. (2015). Accounting conservatism: A review of the literature. Journal of Accounting Literature, 34, 17</w:t>
      </w:r>
      <w:r w:rsidRPr="00C862C2">
        <w:rPr>
          <w:rFonts w:ascii="Times New Roman" w:eastAsia="TimesNewRomanPSMT" w:hAnsi="Times New Roman" w:cs="Times New Roman"/>
        </w:rPr>
        <w:t>–</w:t>
      </w:r>
      <w:r w:rsidRPr="00C862C2">
        <w:rPr>
          <w:rFonts w:ascii="Times New Roman" w:hAnsi="Times New Roman" w:cs="Times New Roman"/>
        </w:rPr>
        <w:t>38.</w:t>
      </w:r>
    </w:p>
    <w:p w14:paraId="6139221D"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 xml:space="preserve">Sabbah Saleh, S., Foroughi, D., &amp; Hashemi, S. A. (2024). The effect of corporate life cycle on financial statement comparability with the moderating role of information asymmetry. </w:t>
      </w:r>
      <w:r w:rsidRPr="00C862C2">
        <w:rPr>
          <w:rStyle w:val="Emphasis"/>
          <w:i w:val="0"/>
          <w:iCs w:val="0"/>
          <w:sz w:val="22"/>
          <w:szCs w:val="22"/>
        </w:rPr>
        <w:t>Empirical Accounting Research, 14</w:t>
      </w:r>
      <w:r w:rsidRPr="00C862C2">
        <w:rPr>
          <w:sz w:val="22"/>
          <w:szCs w:val="22"/>
        </w:rPr>
        <w:t>(54), 49–72.</w:t>
      </w:r>
    </w:p>
    <w:p w14:paraId="67DE9A75"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rPr>
        <w:t>Sarifiyono</w:t>
      </w:r>
      <w:proofErr w:type="spellEnd"/>
      <w:r w:rsidRPr="00C862C2">
        <w:rPr>
          <w:rFonts w:ascii="Times New Roman" w:hAnsi="Times New Roman" w:cs="Times New Roman"/>
        </w:rPr>
        <w:t xml:space="preserve"> Aggi </w:t>
      </w:r>
      <w:proofErr w:type="spellStart"/>
      <w:r w:rsidRPr="00C862C2">
        <w:rPr>
          <w:rFonts w:ascii="Times New Roman" w:hAnsi="Times New Roman" w:cs="Times New Roman"/>
        </w:rPr>
        <w:t>Panigoro</w:t>
      </w:r>
      <w:proofErr w:type="spellEnd"/>
      <w:r w:rsidRPr="00C862C2">
        <w:rPr>
          <w:rFonts w:ascii="Times New Roman" w:hAnsi="Times New Roman" w:cs="Times New Roman"/>
        </w:rPr>
        <w:t xml:space="preserve">, Budi </w:t>
      </w:r>
      <w:proofErr w:type="spellStart"/>
      <w:r w:rsidRPr="00C862C2">
        <w:rPr>
          <w:rFonts w:ascii="Times New Roman" w:hAnsi="Times New Roman" w:cs="Times New Roman"/>
        </w:rPr>
        <w:t>Supriatono</w:t>
      </w:r>
      <w:proofErr w:type="spellEnd"/>
      <w:r w:rsidRPr="00C862C2">
        <w:rPr>
          <w:rFonts w:ascii="Times New Roman" w:hAnsi="Times New Roman" w:cs="Times New Roman"/>
        </w:rPr>
        <w:t xml:space="preserve"> Purnomo, Imas </w:t>
      </w:r>
      <w:proofErr w:type="spellStart"/>
      <w:proofErr w:type="gramStart"/>
      <w:r w:rsidRPr="00C862C2">
        <w:rPr>
          <w:rFonts w:ascii="Times New Roman" w:hAnsi="Times New Roman" w:cs="Times New Roman"/>
        </w:rPr>
        <w:t>Purnamasari</w:t>
      </w:r>
      <w:proofErr w:type="spellEnd"/>
      <w:r w:rsidRPr="00C862C2">
        <w:rPr>
          <w:rFonts w:ascii="Times New Roman" w:hAnsi="Times New Roman" w:cs="Times New Roman"/>
        </w:rPr>
        <w:t>(</w:t>
      </w:r>
      <w:proofErr w:type="gramEnd"/>
      <w:r w:rsidRPr="00C862C2">
        <w:rPr>
          <w:rFonts w:ascii="Times New Roman" w:hAnsi="Times New Roman" w:cs="Times New Roman"/>
        </w:rPr>
        <w:t>2025), Corporate Social Responsibility Disclosure as an Agency Cost Reduction Mechanism for Investment Decisions in the Apparel &amp; Textile Sector, International Journal of Finance Research, Vol. 6, No. 1, March 2025</w:t>
      </w:r>
    </w:p>
    <w:p w14:paraId="61D8783B"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 xml:space="preserve">Sarlak, N., </w:t>
      </w:r>
      <w:proofErr w:type="spellStart"/>
      <w:r w:rsidRPr="00C862C2">
        <w:rPr>
          <w:sz w:val="22"/>
          <w:szCs w:val="22"/>
        </w:rPr>
        <w:t>Sheykholeslami</w:t>
      </w:r>
      <w:proofErr w:type="spellEnd"/>
      <w:r w:rsidRPr="00C862C2">
        <w:rPr>
          <w:sz w:val="22"/>
          <w:szCs w:val="22"/>
        </w:rPr>
        <w:t>, F., &amp;</w:t>
      </w:r>
      <w:proofErr w:type="spellStart"/>
      <w:r w:rsidRPr="00C862C2">
        <w:rPr>
          <w:sz w:val="22"/>
          <w:szCs w:val="22"/>
        </w:rPr>
        <w:t>Izadpour</w:t>
      </w:r>
      <w:proofErr w:type="spellEnd"/>
      <w:r w:rsidRPr="00C862C2">
        <w:rPr>
          <w:sz w:val="22"/>
          <w:szCs w:val="22"/>
        </w:rPr>
        <w:t xml:space="preserve">, M. (2017). The impact of managerial ability on investment efficiency in firms listed on the Tehran Stock Exchange. </w:t>
      </w:r>
      <w:r w:rsidRPr="00C862C2">
        <w:rPr>
          <w:rStyle w:val="Emphasis"/>
          <w:i w:val="0"/>
          <w:iCs w:val="0"/>
          <w:sz w:val="22"/>
          <w:szCs w:val="22"/>
        </w:rPr>
        <w:t>Journal of Modern Research in Accounting and Auditing, 1</w:t>
      </w:r>
      <w:r w:rsidRPr="00C862C2">
        <w:rPr>
          <w:sz w:val="22"/>
          <w:szCs w:val="22"/>
        </w:rPr>
        <w:t>(1), 73–92.</w:t>
      </w:r>
    </w:p>
    <w:p w14:paraId="488967B1"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 xml:space="preserve">Sedighi, R., </w:t>
      </w:r>
      <w:proofErr w:type="spellStart"/>
      <w:r w:rsidRPr="00C862C2">
        <w:rPr>
          <w:sz w:val="22"/>
          <w:szCs w:val="22"/>
        </w:rPr>
        <w:t>Marfou</w:t>
      </w:r>
      <w:proofErr w:type="spellEnd"/>
      <w:r w:rsidRPr="00C862C2">
        <w:rPr>
          <w:sz w:val="22"/>
          <w:szCs w:val="22"/>
        </w:rPr>
        <w:t>, M., &amp;</w:t>
      </w:r>
      <w:proofErr w:type="spellStart"/>
      <w:r w:rsidRPr="00C862C2">
        <w:rPr>
          <w:sz w:val="22"/>
          <w:szCs w:val="22"/>
        </w:rPr>
        <w:t>Nourikhani</w:t>
      </w:r>
      <w:proofErr w:type="spellEnd"/>
      <w:r w:rsidRPr="00C862C2">
        <w:rPr>
          <w:sz w:val="22"/>
          <w:szCs w:val="22"/>
        </w:rPr>
        <w:t xml:space="preserve">, A. (2023). The effect of corporate life cycle on the relationship between financial leverage and accounting conservatism. </w:t>
      </w:r>
      <w:r w:rsidRPr="00C862C2">
        <w:rPr>
          <w:rStyle w:val="Emphasis"/>
          <w:i w:val="0"/>
          <w:iCs w:val="0"/>
          <w:sz w:val="22"/>
          <w:szCs w:val="22"/>
        </w:rPr>
        <w:t>Journal of Novel Research Approaches in Management and Accounting, 7</w:t>
      </w:r>
      <w:r w:rsidRPr="00C862C2">
        <w:rPr>
          <w:sz w:val="22"/>
          <w:szCs w:val="22"/>
        </w:rPr>
        <w:t>(88), 164–176.</w:t>
      </w:r>
    </w:p>
    <w:p w14:paraId="5A5BDF98"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 xml:space="preserve">Setayesh, M. H., &amp; Shams al-Dini, K. (2012). A new proposed model for measuring accounting conservatism. </w:t>
      </w:r>
      <w:r w:rsidRPr="00C862C2">
        <w:rPr>
          <w:rStyle w:val="Emphasis"/>
          <w:i w:val="0"/>
          <w:iCs w:val="0"/>
          <w:sz w:val="22"/>
          <w:szCs w:val="22"/>
        </w:rPr>
        <w:t>Accounting and Auditing Reviews, 15</w:t>
      </w:r>
      <w:r w:rsidRPr="00C862C2">
        <w:rPr>
          <w:sz w:val="22"/>
          <w:szCs w:val="22"/>
        </w:rPr>
        <w:t>(52), 89–106.</w:t>
      </w:r>
    </w:p>
    <w:p w14:paraId="119DB272" w14:textId="77777777" w:rsidR="00F66D82" w:rsidRPr="00C862C2" w:rsidRDefault="00F66D82" w:rsidP="00C862C2">
      <w:pPr>
        <w:pStyle w:val="NormalWeb"/>
        <w:spacing w:before="0" w:beforeAutospacing="0" w:after="0" w:afterAutospacing="0"/>
        <w:jc w:val="both"/>
        <w:rPr>
          <w:sz w:val="22"/>
          <w:szCs w:val="22"/>
        </w:rPr>
      </w:pPr>
      <w:proofErr w:type="spellStart"/>
      <w:r w:rsidRPr="00C862C2">
        <w:rPr>
          <w:sz w:val="22"/>
          <w:szCs w:val="22"/>
        </w:rPr>
        <w:t>Tahriri</w:t>
      </w:r>
      <w:proofErr w:type="spellEnd"/>
      <w:r w:rsidRPr="00C862C2">
        <w:rPr>
          <w:sz w:val="22"/>
          <w:szCs w:val="22"/>
        </w:rPr>
        <w:t>, A., &amp;</w:t>
      </w:r>
      <w:proofErr w:type="spellStart"/>
      <w:r w:rsidRPr="00C862C2">
        <w:rPr>
          <w:sz w:val="22"/>
          <w:szCs w:val="22"/>
        </w:rPr>
        <w:t>Afsai</w:t>
      </w:r>
      <w:proofErr w:type="spellEnd"/>
      <w:r w:rsidRPr="00C862C2">
        <w:rPr>
          <w:sz w:val="22"/>
          <w:szCs w:val="22"/>
        </w:rPr>
        <w:t xml:space="preserve">, A. (2020). The impact of environmental, social, and governance disclosure on auditor effort and audit quality. </w:t>
      </w:r>
      <w:r w:rsidRPr="00C862C2">
        <w:rPr>
          <w:rStyle w:val="Emphasis"/>
          <w:i w:val="0"/>
          <w:iCs w:val="0"/>
          <w:sz w:val="22"/>
          <w:szCs w:val="22"/>
        </w:rPr>
        <w:t>Accounting Knowledge Journal</w:t>
      </w:r>
      <w:r w:rsidRPr="00C862C2">
        <w:rPr>
          <w:sz w:val="22"/>
          <w:szCs w:val="22"/>
        </w:rPr>
        <w:t>, 12(3), 69–88.</w:t>
      </w:r>
    </w:p>
    <w:p w14:paraId="69D38C4A" w14:textId="77777777" w:rsidR="00F66D82" w:rsidRPr="00C862C2" w:rsidRDefault="00F66D82" w:rsidP="00C862C2">
      <w:pPr>
        <w:pStyle w:val="NormalWeb"/>
        <w:spacing w:before="0" w:beforeAutospacing="0" w:after="0" w:afterAutospacing="0"/>
        <w:jc w:val="both"/>
        <w:rPr>
          <w:sz w:val="22"/>
          <w:szCs w:val="22"/>
        </w:rPr>
      </w:pPr>
      <w:r w:rsidRPr="00C862C2">
        <w:rPr>
          <w:sz w:val="22"/>
          <w:szCs w:val="22"/>
        </w:rPr>
        <w:t>Tariverdi, Y., &amp;</w:t>
      </w:r>
      <w:proofErr w:type="spellStart"/>
      <w:r w:rsidRPr="00C862C2">
        <w:rPr>
          <w:sz w:val="22"/>
          <w:szCs w:val="22"/>
        </w:rPr>
        <w:t>Emadian</w:t>
      </w:r>
      <w:proofErr w:type="spellEnd"/>
      <w:r w:rsidRPr="00C862C2">
        <w:rPr>
          <w:sz w:val="22"/>
          <w:szCs w:val="22"/>
        </w:rPr>
        <w:t xml:space="preserve">, N. (2021). The effect of asymmetric cash flow sensitivity on the relationship between financing constraints and conditional conservatism. </w:t>
      </w:r>
      <w:r w:rsidRPr="00C862C2">
        <w:rPr>
          <w:rStyle w:val="Emphasis"/>
          <w:i w:val="0"/>
          <w:iCs w:val="0"/>
          <w:sz w:val="22"/>
          <w:szCs w:val="22"/>
        </w:rPr>
        <w:t>Financial Accounting and Auditing Research, 13</w:t>
      </w:r>
      <w:r w:rsidRPr="00C862C2">
        <w:rPr>
          <w:sz w:val="22"/>
          <w:szCs w:val="22"/>
        </w:rPr>
        <w:t>(49), 119–140.</w:t>
      </w:r>
    </w:p>
    <w:p w14:paraId="73B9DAA8"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Tashman, P., Marano, V., &amp; Kostova, T. (2019). Walking the walk or talking the talk? Corporate social responsibility decoupling in emerging </w:t>
      </w:r>
      <w:proofErr w:type="spellStart"/>
      <w:r w:rsidRPr="00C862C2">
        <w:rPr>
          <w:rFonts w:ascii="Times New Roman" w:hAnsi="Times New Roman" w:cs="Times New Roman"/>
        </w:rPr>
        <w:t>marketmultinationals</w:t>
      </w:r>
      <w:proofErr w:type="spellEnd"/>
      <w:r w:rsidRPr="00C862C2">
        <w:rPr>
          <w:rFonts w:ascii="Times New Roman" w:hAnsi="Times New Roman" w:cs="Times New Roman"/>
        </w:rPr>
        <w:t>. Journal of International Business Studies, 50(2), 153–171.</w:t>
      </w:r>
    </w:p>
    <w:p w14:paraId="3C064ED3"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Teng, M.J., Wu, S.Y., Chou, S.J.H., 2014. Environmental commitment and economic performance–short-term pain for long-term gain. Environ. Pol. Gov. 24, 16–27.</w:t>
      </w:r>
    </w:p>
    <w:p w14:paraId="590ACECA"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Torbert, W. R. (1975). Pre bureaucratic and post bureaucratic stages of organization development. Interpersonal Development, 5(1), 1-25.</w:t>
      </w:r>
    </w:p>
    <w:p w14:paraId="0EAC08EE"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Tsai, K.H., Huang, C.T., Chen, Z.H., 2020. Understanding variation in the relationship between environmental management practices and firm performance across studies: a meta- analytic review. Bus. Strat. Environ. 2, 547–565.</w:t>
      </w:r>
    </w:p>
    <w:p w14:paraId="78DF5B5D"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Umar, Z., Gubareva, M., Tran, D. K. &amp;</w:t>
      </w:r>
      <w:proofErr w:type="spellStart"/>
      <w:r w:rsidRPr="00C862C2">
        <w:rPr>
          <w:rFonts w:ascii="Times New Roman" w:hAnsi="Times New Roman" w:cs="Times New Roman"/>
        </w:rPr>
        <w:t>Teplova</w:t>
      </w:r>
      <w:proofErr w:type="spellEnd"/>
      <w:r w:rsidRPr="00C862C2">
        <w:rPr>
          <w:rFonts w:ascii="Times New Roman" w:hAnsi="Times New Roman" w:cs="Times New Roman"/>
        </w:rPr>
        <w:t xml:space="preserve">, T. (2021). Impact of the Covid-19 induced panic on the environmental, social and governance </w:t>
      </w:r>
      <w:proofErr w:type="gramStart"/>
      <w:r w:rsidRPr="00C862C2">
        <w:rPr>
          <w:rFonts w:ascii="Times New Roman" w:hAnsi="Times New Roman" w:cs="Times New Roman"/>
        </w:rPr>
        <w:t>leaders</w:t>
      </w:r>
      <w:proofErr w:type="gramEnd"/>
      <w:r w:rsidRPr="00C862C2">
        <w:rPr>
          <w:rFonts w:ascii="Times New Roman" w:hAnsi="Times New Roman" w:cs="Times New Roman"/>
        </w:rPr>
        <w:t xml:space="preserve"> equity volatility: A time-frequency analysis. Research in International Business and Finance, 58, 101493.</w:t>
      </w:r>
    </w:p>
    <w:p w14:paraId="2BC0F4E0" w14:textId="630E29EE" w:rsidR="00F66D82" w:rsidRPr="00C862C2" w:rsidRDefault="00F66D82" w:rsidP="00C862C2">
      <w:pPr>
        <w:autoSpaceDE w:val="0"/>
        <w:autoSpaceDN w:val="0"/>
        <w:adjustRightInd w:val="0"/>
        <w:spacing w:after="0" w:line="240" w:lineRule="auto"/>
        <w:jc w:val="both"/>
        <w:rPr>
          <w:rFonts w:ascii="Times New Roman" w:hAnsi="Times New Roman" w:cs="Times New Roman"/>
          <w:lang w:val="es-ES"/>
        </w:rPr>
      </w:pPr>
      <w:r w:rsidRPr="00C862C2">
        <w:rPr>
          <w:rFonts w:ascii="Times New Roman" w:hAnsi="Times New Roman" w:cs="Times New Roman"/>
        </w:rPr>
        <w:t xml:space="preserve">Watts, R. L. (2003). Conservatism in Accounting Part I: Explanations and Implications. </w:t>
      </w:r>
      <w:r w:rsidRPr="00C862C2">
        <w:rPr>
          <w:rFonts w:ascii="Times New Roman" w:hAnsi="Times New Roman" w:cs="Times New Roman"/>
          <w:lang w:val="es-ES"/>
        </w:rPr>
        <w:t>17(3), 207</w:t>
      </w:r>
      <w:r w:rsidRPr="00C862C2">
        <w:rPr>
          <w:rFonts w:ascii="Times New Roman" w:eastAsia="TimesNewRomanPSMT" w:hAnsi="Times New Roman" w:cs="Times New Roman"/>
          <w:lang w:val="es-ES"/>
        </w:rPr>
        <w:t>–</w:t>
      </w:r>
      <w:r w:rsidRPr="00C862C2">
        <w:rPr>
          <w:rFonts w:ascii="Times New Roman" w:hAnsi="Times New Roman" w:cs="Times New Roman"/>
          <w:lang w:val="es-ES"/>
        </w:rPr>
        <w:t>221.</w:t>
      </w:r>
    </w:p>
    <w:p w14:paraId="247EF30B"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lang w:val="es-ES"/>
        </w:rPr>
        <w:t xml:space="preserve">Xie, J., Nozawa, W., Yagi, M., Fujii, H., &amp; Managi, S. (2019). </w:t>
      </w:r>
      <w:r w:rsidRPr="00C862C2">
        <w:rPr>
          <w:rFonts w:ascii="Times New Roman" w:hAnsi="Times New Roman" w:cs="Times New Roman"/>
        </w:rPr>
        <w:t>Do environmental, social, and governance activities improve corporate financial performance? Business Strategy and the Environment, 28(2), 286-300.</w:t>
      </w:r>
    </w:p>
    <w:p w14:paraId="353EB348"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 xml:space="preserve">Yahaya </w:t>
      </w:r>
      <w:proofErr w:type="spellStart"/>
      <w:r w:rsidRPr="00C862C2">
        <w:rPr>
          <w:rFonts w:ascii="Times New Roman" w:hAnsi="Times New Roman" w:cs="Times New Roman"/>
        </w:rPr>
        <w:t>OnipeAdabenege</w:t>
      </w:r>
      <w:proofErr w:type="spellEnd"/>
      <w:r w:rsidRPr="00C862C2">
        <w:rPr>
          <w:rFonts w:ascii="Times New Roman" w:hAnsi="Times New Roman" w:cs="Times New Roman"/>
        </w:rPr>
        <w:t xml:space="preserve"> (2025), The Influence of Environmental Disclosure on Corporate Information Asymmetry, Accounting Review, 51(1), 217-239</w:t>
      </w:r>
    </w:p>
    <w:p w14:paraId="4170932B"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proofErr w:type="spellStart"/>
      <w:r w:rsidRPr="00C862C2">
        <w:rPr>
          <w:rFonts w:ascii="Times New Roman" w:hAnsi="Times New Roman" w:cs="Times New Roman"/>
          <w:lang w:val="es-ES"/>
        </w:rPr>
        <w:t>Yu</w:t>
      </w:r>
      <w:proofErr w:type="spellEnd"/>
      <w:r w:rsidRPr="00C862C2">
        <w:rPr>
          <w:rFonts w:ascii="Times New Roman" w:hAnsi="Times New Roman" w:cs="Times New Roman"/>
          <w:lang w:val="es-ES"/>
        </w:rPr>
        <w:t xml:space="preserve">, E. P-Y, Guo, C. Q., &amp; Luu, B. Van. </w:t>
      </w:r>
      <w:r w:rsidRPr="00C862C2">
        <w:rPr>
          <w:rFonts w:ascii="Times New Roman" w:hAnsi="Times New Roman" w:cs="Times New Roman"/>
        </w:rPr>
        <w:t>(2018). Environmental, social and governance transparency and firm value. Business Strategy and the Environment, 27(7), 987-1004.</w:t>
      </w:r>
    </w:p>
    <w:p w14:paraId="16CAB370" w14:textId="77777777" w:rsidR="00F66D82"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Yu, W., &amp; Zheng, Y. (2020). Does CSR reporting matter to foreign institutional investors in China? Journal of International Accounting. Auditing and Taxation</w:t>
      </w:r>
      <w:r w:rsidRPr="00C862C2">
        <w:rPr>
          <w:rFonts w:ascii="Times New Roman" w:hAnsi="Times New Roman" w:cs="Times New Roman"/>
          <w:rtl/>
        </w:rPr>
        <w:t>,</w:t>
      </w:r>
      <w:r w:rsidRPr="00C862C2">
        <w:rPr>
          <w:rFonts w:ascii="Times New Roman" w:hAnsi="Times New Roman" w:cs="Times New Roman"/>
        </w:rPr>
        <w:t>40.</w:t>
      </w:r>
    </w:p>
    <w:p w14:paraId="15A46096" w14:textId="0BFFD3E3" w:rsidR="00117D0B" w:rsidRPr="00C862C2" w:rsidRDefault="00F66D82" w:rsidP="00C862C2">
      <w:pPr>
        <w:autoSpaceDE w:val="0"/>
        <w:autoSpaceDN w:val="0"/>
        <w:adjustRightInd w:val="0"/>
        <w:spacing w:after="0" w:line="240" w:lineRule="auto"/>
        <w:jc w:val="both"/>
        <w:rPr>
          <w:rFonts w:ascii="Times New Roman" w:hAnsi="Times New Roman" w:cs="Times New Roman"/>
        </w:rPr>
      </w:pPr>
      <w:r w:rsidRPr="00C862C2">
        <w:rPr>
          <w:rFonts w:ascii="Times New Roman" w:hAnsi="Times New Roman" w:cs="Times New Roman"/>
        </w:rPr>
        <w:t>Zhang, J. (2008). The contracting benefits of accounting conservatism to lenders and borrowers. Journal of Accounting and Economics, 45(1), 27–54</w:t>
      </w:r>
      <w:r w:rsidR="00146D68" w:rsidRPr="00C862C2">
        <w:rPr>
          <w:rFonts w:ascii="Times New Roman" w:hAnsi="Times New Roman" w:cs="Times New Roman"/>
        </w:rPr>
        <w:t>.</w:t>
      </w:r>
    </w:p>
    <w:sectPr w:rsidR="00117D0B" w:rsidRPr="00C862C2" w:rsidSect="00662279">
      <w:headerReference w:type="even" r:id="rId12"/>
      <w:headerReference w:type="default" r:id="rId13"/>
      <w:footerReference w:type="default" r:id="rId14"/>
      <w:headerReference w:type="first" r:id="rId15"/>
      <w:pgSz w:w="12240" w:h="15840"/>
      <w:pgMar w:top="1440" w:right="1440" w:bottom="1440" w:left="1440" w:header="709" w:footer="709" w:gutter="0"/>
      <w:pgNumType w:start="148"/>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2F12" w14:textId="77777777" w:rsidR="00B7589D" w:rsidRDefault="00B7589D" w:rsidP="00560929">
      <w:pPr>
        <w:spacing w:after="0" w:line="240" w:lineRule="auto"/>
      </w:pPr>
      <w:r>
        <w:separator/>
      </w:r>
    </w:p>
  </w:endnote>
  <w:endnote w:type="continuationSeparator" w:id="0">
    <w:p w14:paraId="630F3F12" w14:textId="77777777" w:rsidR="00B7589D" w:rsidRDefault="00B7589D" w:rsidP="0056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 Zar">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TimesNewRomanPSMT">
    <w:altName w:val="Arial Unicode M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77517"/>
      <w:docPartObj>
        <w:docPartGallery w:val="Page Numbers (Bottom of Page)"/>
        <w:docPartUnique/>
      </w:docPartObj>
    </w:sdtPr>
    <w:sdtEndPr>
      <w:rPr>
        <w:noProof/>
      </w:rPr>
    </w:sdtEndPr>
    <w:sdtContent>
      <w:p w14:paraId="2349FB0E" w14:textId="77777777" w:rsidR="00475B92" w:rsidRDefault="00ED51A6">
        <w:pPr>
          <w:pStyle w:val="Footer"/>
          <w:jc w:val="right"/>
        </w:pPr>
        <w:r>
          <w:fldChar w:fldCharType="begin"/>
        </w:r>
        <w:r>
          <w:instrText xml:space="preserve"> PAGE   \* MERGEFORMAT </w:instrText>
        </w:r>
        <w:r>
          <w:fldChar w:fldCharType="separate"/>
        </w:r>
        <w:r w:rsidR="00AF6197">
          <w:rPr>
            <w:noProof/>
          </w:rPr>
          <w:t>21</w:t>
        </w:r>
        <w:r>
          <w:rPr>
            <w:noProof/>
          </w:rPr>
          <w:fldChar w:fldCharType="end"/>
        </w:r>
      </w:p>
    </w:sdtContent>
  </w:sdt>
  <w:p w14:paraId="68311629" w14:textId="77777777" w:rsidR="00475B92" w:rsidRDefault="00475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2518" w14:textId="77777777" w:rsidR="00B7589D" w:rsidRDefault="00B7589D" w:rsidP="00560929">
      <w:pPr>
        <w:spacing w:after="0" w:line="240" w:lineRule="auto"/>
      </w:pPr>
      <w:r>
        <w:separator/>
      </w:r>
    </w:p>
  </w:footnote>
  <w:footnote w:type="continuationSeparator" w:id="0">
    <w:p w14:paraId="46486F10" w14:textId="77777777" w:rsidR="00B7589D" w:rsidRDefault="00B7589D" w:rsidP="00560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rPr>
      <w:id w:val="1191268987"/>
      <w:docPartObj>
        <w:docPartGallery w:val="Page Numbers (Top of Page)"/>
        <w:docPartUnique/>
      </w:docPartObj>
    </w:sdtPr>
    <w:sdtEndPr>
      <w:rPr>
        <w:i w:val="0"/>
        <w:iCs w:val="0"/>
        <w:noProof/>
        <w:u w:val="single"/>
      </w:rPr>
    </w:sdtEndPr>
    <w:sdtContent>
      <w:p w14:paraId="3E95FC4A" w14:textId="77A8D316" w:rsidR="00C862C2" w:rsidRPr="00F409BA" w:rsidRDefault="00C862C2" w:rsidP="00C862C2">
        <w:pPr>
          <w:pStyle w:val="Header"/>
          <w:jc w:val="both"/>
          <w:rPr>
            <w:rFonts w:ascii="Times New Roman" w:hAnsi="Times New Roman" w:cs="Times New Roman"/>
            <w:u w:val="single"/>
            <w:lang w:val="en-IN"/>
          </w:rPr>
        </w:pPr>
        <w:r w:rsidRPr="00C862C2">
          <w:rPr>
            <w:rFonts w:ascii="Times New Roman" w:hAnsi="Times New Roman" w:cs="Times New Roman"/>
            <w:i/>
            <w:iCs/>
            <w:u w:val="single"/>
            <w:lang w:val="it-IT"/>
          </w:rPr>
          <w:t xml:space="preserve">Sahar Mojaverrostami </w:t>
        </w:r>
        <w:r w:rsidRPr="00C04F37">
          <w:rPr>
            <w:rFonts w:ascii="Times New Roman" w:hAnsi="Times New Roman" w:cs="Times New Roman"/>
            <w:i/>
            <w:iCs/>
            <w:u w:val="single"/>
            <w:lang w:val="it-IT"/>
          </w:rPr>
          <w:t>et al.</w:t>
        </w:r>
        <w:r>
          <w:rPr>
            <w:rFonts w:ascii="Times New Roman" w:hAnsi="Times New Roman" w:cs="Times New Roman"/>
            <w:i/>
            <w:iCs/>
            <w:u w:val="single"/>
            <w:lang w:val="it-IT"/>
          </w:rPr>
          <w:t xml:space="preserve"> </w:t>
        </w:r>
        <w:r w:rsidRPr="00C862C2">
          <w:rPr>
            <w:rFonts w:ascii="Times New Roman" w:hAnsi="Times New Roman" w:cs="Times New Roman"/>
            <w:i/>
            <w:iCs/>
            <w:u w:val="single"/>
            <w:lang w:val="en-IN"/>
          </w:rPr>
          <w:t xml:space="preserve">Environmental Disclosure </w:t>
        </w:r>
        <w:proofErr w:type="gramStart"/>
        <w:r w:rsidRPr="00C862C2">
          <w:rPr>
            <w:rFonts w:ascii="Times New Roman" w:hAnsi="Times New Roman" w:cs="Times New Roman"/>
            <w:i/>
            <w:iCs/>
            <w:u w:val="single"/>
            <w:lang w:val="en-IN"/>
          </w:rPr>
          <w:t>And</w:t>
        </w:r>
        <w:proofErr w:type="gramEnd"/>
        <w:r w:rsidRPr="00C862C2">
          <w:rPr>
            <w:rFonts w:ascii="Times New Roman" w:hAnsi="Times New Roman" w:cs="Times New Roman"/>
            <w:i/>
            <w:iCs/>
            <w:u w:val="single"/>
            <w:lang w:val="en-IN"/>
          </w:rPr>
          <w:t xml:space="preserve"> Accounting</w:t>
        </w:r>
        <w:r w:rsidRPr="00F409BA">
          <w:rPr>
            <w:rFonts w:ascii="Times New Roman" w:hAnsi="Times New Roman" w:cs="Times New Roman"/>
            <w:i/>
            <w:iCs/>
            <w:u w:val="single"/>
            <w:lang w:val="en-IN"/>
          </w:rPr>
          <w:t xml:space="preserve">.......             </w:t>
        </w:r>
        <w:r w:rsidRPr="00F409BA">
          <w:rPr>
            <w:rFonts w:ascii="Times New Roman" w:hAnsi="Times New Roman" w:cs="Times New Roman"/>
            <w:i/>
            <w:iCs/>
            <w:u w:val="single"/>
            <w:lang w:val="en-IN"/>
          </w:rPr>
          <w:tab/>
          <w:t xml:space="preserve">       </w:t>
        </w:r>
        <w:r w:rsidRPr="00C94539">
          <w:rPr>
            <w:rFonts w:ascii="Times New Roman" w:hAnsi="Times New Roman" w:cs="Times New Roman"/>
            <w:u w:val="single"/>
          </w:rPr>
          <w:fldChar w:fldCharType="begin"/>
        </w:r>
        <w:r w:rsidRPr="00F409BA">
          <w:rPr>
            <w:rFonts w:ascii="Times New Roman" w:hAnsi="Times New Roman" w:cs="Times New Roman"/>
            <w:u w:val="single"/>
            <w:lang w:val="en-IN"/>
          </w:rPr>
          <w:instrText xml:space="preserve"> PAGE   \* MERGEFORMAT </w:instrText>
        </w:r>
        <w:r w:rsidRPr="00C94539">
          <w:rPr>
            <w:rFonts w:ascii="Times New Roman" w:hAnsi="Times New Roman" w:cs="Times New Roman"/>
            <w:u w:val="single"/>
          </w:rPr>
          <w:fldChar w:fldCharType="separate"/>
        </w:r>
        <w:r>
          <w:rPr>
            <w:rFonts w:ascii="Times New Roman" w:hAnsi="Times New Roman" w:cs="Times New Roman"/>
            <w:u w:val="single"/>
          </w:rPr>
          <w:t>195</w:t>
        </w:r>
        <w:r w:rsidRPr="00C94539">
          <w:rPr>
            <w:rFonts w:ascii="Times New Roman" w:hAnsi="Times New Roman" w:cs="Times New Roman"/>
            <w:noProof/>
            <w:u w:val="single"/>
          </w:rPr>
          <w:fldChar w:fldCharType="end"/>
        </w:r>
      </w:p>
    </w:sdtContent>
  </w:sdt>
  <w:p w14:paraId="2469AD28" w14:textId="77777777" w:rsidR="00C862C2" w:rsidRDefault="00C86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202242"/>
      <w:docPartObj>
        <w:docPartGallery w:val="Page Numbers (Top of Page)"/>
        <w:docPartUnique/>
      </w:docPartObj>
    </w:sdtPr>
    <w:sdtEndPr>
      <w:rPr>
        <w:noProof/>
        <w:u w:val="single"/>
      </w:rPr>
    </w:sdtEndPr>
    <w:sdtContent>
      <w:p w14:paraId="0C783BEB" w14:textId="00195EAB" w:rsidR="00C862C2" w:rsidRPr="00C94539" w:rsidRDefault="00C862C2" w:rsidP="00C862C2">
        <w:pPr>
          <w:pStyle w:val="Header"/>
          <w:rPr>
            <w:u w:val="single"/>
          </w:rPr>
        </w:pPr>
        <w:r w:rsidRPr="00C94539">
          <w:rPr>
            <w:rFonts w:ascii="Times New Roman" w:hAnsi="Times New Roman" w:cs="Times New Roman"/>
            <w:u w:val="single"/>
          </w:rPr>
          <w:fldChar w:fldCharType="begin"/>
        </w:r>
        <w:r w:rsidRPr="00C94539">
          <w:rPr>
            <w:rFonts w:ascii="Times New Roman" w:hAnsi="Times New Roman" w:cs="Times New Roman"/>
            <w:u w:val="single"/>
          </w:rPr>
          <w:instrText xml:space="preserve"> PAGE   \* MERGEFORMAT </w:instrText>
        </w:r>
        <w:r w:rsidRPr="00C94539">
          <w:rPr>
            <w:rFonts w:ascii="Times New Roman" w:hAnsi="Times New Roman" w:cs="Times New Roman"/>
            <w:u w:val="single"/>
          </w:rPr>
          <w:fldChar w:fldCharType="separate"/>
        </w:r>
        <w:r>
          <w:rPr>
            <w:rFonts w:ascii="Times New Roman" w:hAnsi="Times New Roman" w:cs="Times New Roman"/>
            <w:u w:val="single"/>
          </w:rPr>
          <w:t>196</w:t>
        </w:r>
        <w:r w:rsidRPr="00C94539">
          <w:rPr>
            <w:rFonts w:ascii="Times New Roman" w:hAnsi="Times New Roman" w:cs="Times New Roman"/>
            <w:noProof/>
            <w:u w:val="single"/>
          </w:rPr>
          <w:fldChar w:fldCharType="end"/>
        </w:r>
        <w:r w:rsidRPr="00C94539">
          <w:rPr>
            <w:rFonts w:ascii="Times New Roman" w:hAnsi="Times New Roman" w:cs="Times New Roman"/>
            <w:u w:val="single"/>
          </w:rPr>
          <w:t xml:space="preserve">                 </w:t>
        </w:r>
        <w:r>
          <w:rPr>
            <w:rFonts w:ascii="Times New Roman" w:hAnsi="Times New Roman" w:cs="Times New Roman"/>
            <w:u w:val="single"/>
          </w:rPr>
          <w:t xml:space="preserve">   </w:t>
        </w:r>
        <w:r w:rsidRPr="00C94539">
          <w:rPr>
            <w:rFonts w:ascii="Times New Roman" w:hAnsi="Times New Roman" w:cs="Times New Roman"/>
            <w:u w:val="single"/>
          </w:rPr>
          <w:t xml:space="preserve">                                   </w:t>
        </w:r>
        <w:r>
          <w:rPr>
            <w:rFonts w:ascii="Times New Roman" w:hAnsi="Times New Roman" w:cs="Times New Roman"/>
            <w:u w:val="single"/>
          </w:rPr>
          <w:t xml:space="preserve">      </w:t>
        </w:r>
        <w:r w:rsidRPr="00C94539">
          <w:rPr>
            <w:rFonts w:ascii="Times New Roman" w:hAnsi="Times New Roman" w:cs="Times New Roman"/>
            <w:u w:val="single"/>
          </w:rPr>
          <w:t xml:space="preserve"> </w:t>
        </w:r>
        <w:r>
          <w:rPr>
            <w:rFonts w:ascii="Times New Roman" w:hAnsi="Times New Roman" w:cs="Times New Roman"/>
            <w:u w:val="single"/>
          </w:rPr>
          <w:t xml:space="preserve">    </w:t>
        </w:r>
        <w:r w:rsidRPr="00C94539">
          <w:rPr>
            <w:rFonts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u w:val="single"/>
          </w:rPr>
          <w:t xml:space="preserve">       </w:t>
        </w:r>
        <w:r w:rsidRPr="00C94539">
          <w:rPr>
            <w:rFonts w:ascii="Times New Roman" w:hAnsi="Times New Roman" w:cs="Times New Roman"/>
            <w:i/>
            <w:iCs/>
            <w:u w:val="single"/>
          </w:rPr>
          <w:t xml:space="preserve">Metall. Mater. Eng. Vol </w:t>
        </w:r>
        <w:r>
          <w:rPr>
            <w:rFonts w:ascii="Times New Roman" w:hAnsi="Times New Roman" w:cs="Times New Roman"/>
            <w:i/>
            <w:iCs/>
            <w:u w:val="single"/>
          </w:rPr>
          <w:t>3</w:t>
        </w:r>
        <w:r>
          <w:rPr>
            <w:rFonts w:ascii="Times New Roman" w:hAnsi="Times New Roman" w:cs="Times New Roman"/>
            <w:i/>
            <w:iCs/>
            <w:u w:val="single"/>
          </w:rPr>
          <w:t>2</w:t>
        </w:r>
        <w:r w:rsidRPr="00C94539">
          <w:rPr>
            <w:rFonts w:ascii="Times New Roman" w:hAnsi="Times New Roman" w:cs="Times New Roman"/>
            <w:i/>
            <w:iCs/>
            <w:u w:val="single"/>
          </w:rPr>
          <w:t xml:space="preserve"> (</w:t>
        </w:r>
        <w:r>
          <w:rPr>
            <w:rFonts w:ascii="Times New Roman" w:hAnsi="Times New Roman" w:cs="Times New Roman"/>
            <w:i/>
            <w:iCs/>
            <w:u w:val="single"/>
          </w:rPr>
          <w:t>2</w:t>
        </w:r>
        <w:r w:rsidRPr="00C94539">
          <w:rPr>
            <w:rFonts w:ascii="Times New Roman" w:hAnsi="Times New Roman" w:cs="Times New Roman"/>
            <w:i/>
            <w:iCs/>
            <w:u w:val="single"/>
          </w:rPr>
          <w:t>) 202</w:t>
        </w:r>
        <w:r>
          <w:rPr>
            <w:rFonts w:ascii="Times New Roman" w:hAnsi="Times New Roman" w:cs="Times New Roman"/>
            <w:i/>
            <w:iCs/>
            <w:u w:val="single"/>
          </w:rPr>
          <w:t>6</w:t>
        </w:r>
        <w:r w:rsidRPr="00C94539">
          <w:rPr>
            <w:rFonts w:ascii="Times New Roman" w:hAnsi="Times New Roman" w:cs="Times New Roman"/>
            <w:i/>
            <w:iCs/>
            <w:u w:val="single"/>
          </w:rPr>
          <w:t xml:space="preserve"> p. </w:t>
        </w:r>
        <w:r w:rsidR="00662279">
          <w:rPr>
            <w:rFonts w:ascii="Times New Roman" w:hAnsi="Times New Roman" w:cs="Times New Roman"/>
            <w:i/>
            <w:iCs/>
            <w:u w:val="single"/>
          </w:rPr>
          <w:t>148-169</w:t>
        </w:r>
      </w:p>
    </w:sdtContent>
  </w:sdt>
  <w:p w14:paraId="692E9848" w14:textId="77777777" w:rsidR="00C862C2" w:rsidRDefault="00C86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5877" w14:textId="77777777" w:rsidR="00C862C2" w:rsidRPr="00EA2C68" w:rsidRDefault="00C862C2" w:rsidP="00C862C2">
    <w:pPr>
      <w:pStyle w:val="Header"/>
      <w:rPr>
        <w:rFonts w:ascii="Times New Roman" w:hAnsi="Times New Roman" w:cs="Times New Roman"/>
        <w:i/>
        <w:iCs/>
      </w:rPr>
    </w:pPr>
    <w:r w:rsidRPr="00C94539">
      <w:rPr>
        <w:rFonts w:ascii="Times New Roman" w:hAnsi="Times New Roman" w:cs="Times New Roman"/>
        <w:i/>
        <w:iCs/>
      </w:rPr>
      <w:t>Metallurgical and Materials Engineering</w:t>
    </w:r>
    <w:r w:rsidRPr="00C94539">
      <w:t xml:space="preserve"> </w:t>
    </w:r>
    <w:r>
      <w:t xml:space="preserve">                                                                                </w:t>
    </w:r>
    <w:r w:rsidRPr="00C94539">
      <w:rPr>
        <w:rFonts w:ascii="Times New Roman" w:hAnsi="Times New Roman" w:cs="Times New Roman"/>
        <w:i/>
        <w:iCs/>
      </w:rPr>
      <w:t>Research paper</w:t>
    </w:r>
  </w:p>
  <w:p w14:paraId="1E472002" w14:textId="77777777" w:rsidR="00C862C2" w:rsidRDefault="00C86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3A27"/>
    <w:multiLevelType w:val="hybridMultilevel"/>
    <w:tmpl w:val="4498F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B2D36"/>
    <w:multiLevelType w:val="hybridMultilevel"/>
    <w:tmpl w:val="31C49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E4C31"/>
    <w:multiLevelType w:val="multilevel"/>
    <w:tmpl w:val="4D4E1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5D408C"/>
    <w:multiLevelType w:val="multilevel"/>
    <w:tmpl w:val="2C06367E"/>
    <w:lvl w:ilvl="0">
      <w:start w:val="1"/>
      <w:numFmt w:val="decimal"/>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C66A79"/>
    <w:multiLevelType w:val="hybridMultilevel"/>
    <w:tmpl w:val="23AE46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57A7EF2"/>
    <w:multiLevelType w:val="multilevel"/>
    <w:tmpl w:val="C214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55F9C"/>
    <w:multiLevelType w:val="multilevel"/>
    <w:tmpl w:val="4CF4B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CD3C00"/>
    <w:multiLevelType w:val="multilevel"/>
    <w:tmpl w:val="F446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32BCB"/>
    <w:multiLevelType w:val="multilevel"/>
    <w:tmpl w:val="2C06367E"/>
    <w:lvl w:ilvl="0">
      <w:start w:val="1"/>
      <w:numFmt w:val="decimal"/>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7D6964"/>
    <w:multiLevelType w:val="hybridMultilevel"/>
    <w:tmpl w:val="F19A4F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BFF5546"/>
    <w:multiLevelType w:val="multilevel"/>
    <w:tmpl w:val="2AA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54E27"/>
    <w:multiLevelType w:val="multilevel"/>
    <w:tmpl w:val="CF34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30E72"/>
    <w:multiLevelType w:val="multilevel"/>
    <w:tmpl w:val="B598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13D97"/>
    <w:multiLevelType w:val="hybridMultilevel"/>
    <w:tmpl w:val="35763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D6C22"/>
    <w:multiLevelType w:val="multilevel"/>
    <w:tmpl w:val="56BC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BA64EF"/>
    <w:multiLevelType w:val="multilevel"/>
    <w:tmpl w:val="E174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B36B8"/>
    <w:multiLevelType w:val="hybridMultilevel"/>
    <w:tmpl w:val="EA043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D83A9E"/>
    <w:multiLevelType w:val="multilevel"/>
    <w:tmpl w:val="DDC0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441063"/>
    <w:multiLevelType w:val="multilevel"/>
    <w:tmpl w:val="4D4E1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F23C7D"/>
    <w:multiLevelType w:val="multilevel"/>
    <w:tmpl w:val="7CE8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171F4"/>
    <w:multiLevelType w:val="multilevel"/>
    <w:tmpl w:val="C1382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B86247"/>
    <w:multiLevelType w:val="hybridMultilevel"/>
    <w:tmpl w:val="B656ACD0"/>
    <w:lvl w:ilvl="0" w:tplc="5942A9EA">
      <w:start w:val="1"/>
      <w:numFmt w:val="lowerLetter"/>
      <w:lvlText w:val="%1)"/>
      <w:lvlJc w:val="left"/>
      <w:pPr>
        <w:ind w:left="768" w:hanging="360"/>
      </w:pPr>
      <w:rPr>
        <w:rFonts w:asciiTheme="majorBidi" w:eastAsia="Times New Roman" w:hAnsiTheme="majorBidi" w:cstheme="majorBidi"/>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923103961">
    <w:abstractNumId w:val="6"/>
  </w:num>
  <w:num w:numId="2" w16cid:durableId="1709642322">
    <w:abstractNumId w:val="15"/>
  </w:num>
  <w:num w:numId="3" w16cid:durableId="528572528">
    <w:abstractNumId w:val="10"/>
  </w:num>
  <w:num w:numId="4" w16cid:durableId="244848188">
    <w:abstractNumId w:val="17"/>
  </w:num>
  <w:num w:numId="5" w16cid:durableId="1896119957">
    <w:abstractNumId w:val="20"/>
  </w:num>
  <w:num w:numId="6" w16cid:durableId="797842758">
    <w:abstractNumId w:val="11"/>
  </w:num>
  <w:num w:numId="7" w16cid:durableId="119736808">
    <w:abstractNumId w:val="14"/>
  </w:num>
  <w:num w:numId="8" w16cid:durableId="1938555485">
    <w:abstractNumId w:val="2"/>
  </w:num>
  <w:num w:numId="9" w16cid:durableId="730813077">
    <w:abstractNumId w:val="12"/>
  </w:num>
  <w:num w:numId="10" w16cid:durableId="1429884839">
    <w:abstractNumId w:val="4"/>
  </w:num>
  <w:num w:numId="11" w16cid:durableId="504172794">
    <w:abstractNumId w:val="21"/>
  </w:num>
  <w:num w:numId="12" w16cid:durableId="1050500200">
    <w:abstractNumId w:val="9"/>
  </w:num>
  <w:num w:numId="13" w16cid:durableId="406849450">
    <w:abstractNumId w:val="16"/>
  </w:num>
  <w:num w:numId="14" w16cid:durableId="393740379">
    <w:abstractNumId w:val="19"/>
  </w:num>
  <w:num w:numId="15" w16cid:durableId="147481430">
    <w:abstractNumId w:val="7"/>
  </w:num>
  <w:num w:numId="16" w16cid:durableId="954942092">
    <w:abstractNumId w:val="5"/>
  </w:num>
  <w:num w:numId="17" w16cid:durableId="383606010">
    <w:abstractNumId w:val="0"/>
  </w:num>
  <w:num w:numId="18" w16cid:durableId="1747920147">
    <w:abstractNumId w:val="1"/>
  </w:num>
  <w:num w:numId="19" w16cid:durableId="1594165497">
    <w:abstractNumId w:val="13"/>
  </w:num>
  <w:num w:numId="20" w16cid:durableId="1959947313">
    <w:abstractNumId w:val="18"/>
  </w:num>
  <w:num w:numId="21" w16cid:durableId="2049718966">
    <w:abstractNumId w:val="3"/>
  </w:num>
  <w:num w:numId="22" w16cid:durableId="38922907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F5"/>
    <w:rsid w:val="00003EAA"/>
    <w:rsid w:val="00017464"/>
    <w:rsid w:val="00031F89"/>
    <w:rsid w:val="00036F62"/>
    <w:rsid w:val="000859CA"/>
    <w:rsid w:val="000909F9"/>
    <w:rsid w:val="0009331D"/>
    <w:rsid w:val="000C4A2E"/>
    <w:rsid w:val="00117D0B"/>
    <w:rsid w:val="001461C9"/>
    <w:rsid w:val="00146D68"/>
    <w:rsid w:val="001B23DD"/>
    <w:rsid w:val="001B5898"/>
    <w:rsid w:val="00214CA4"/>
    <w:rsid w:val="002758BC"/>
    <w:rsid w:val="002831F5"/>
    <w:rsid w:val="00291627"/>
    <w:rsid w:val="00294878"/>
    <w:rsid w:val="002A1E2E"/>
    <w:rsid w:val="002C0304"/>
    <w:rsid w:val="002C0B9F"/>
    <w:rsid w:val="00303680"/>
    <w:rsid w:val="00306EDC"/>
    <w:rsid w:val="003161AA"/>
    <w:rsid w:val="00377C05"/>
    <w:rsid w:val="003A29FA"/>
    <w:rsid w:val="003D3197"/>
    <w:rsid w:val="003D53A9"/>
    <w:rsid w:val="003F52CF"/>
    <w:rsid w:val="00423B6B"/>
    <w:rsid w:val="004301AC"/>
    <w:rsid w:val="00430839"/>
    <w:rsid w:val="00440A11"/>
    <w:rsid w:val="0046097B"/>
    <w:rsid w:val="00475B92"/>
    <w:rsid w:val="00486169"/>
    <w:rsid w:val="004902A2"/>
    <w:rsid w:val="00497B82"/>
    <w:rsid w:val="004B0357"/>
    <w:rsid w:val="004B7953"/>
    <w:rsid w:val="004D4AAE"/>
    <w:rsid w:val="004E1498"/>
    <w:rsid w:val="004F03F4"/>
    <w:rsid w:val="004F4D58"/>
    <w:rsid w:val="00545236"/>
    <w:rsid w:val="00560929"/>
    <w:rsid w:val="005948E7"/>
    <w:rsid w:val="005B1833"/>
    <w:rsid w:val="005D29BF"/>
    <w:rsid w:val="005E2CC8"/>
    <w:rsid w:val="00620EA6"/>
    <w:rsid w:val="006267EF"/>
    <w:rsid w:val="00662279"/>
    <w:rsid w:val="00674FE1"/>
    <w:rsid w:val="00694F0E"/>
    <w:rsid w:val="006C0498"/>
    <w:rsid w:val="006D2655"/>
    <w:rsid w:val="006E1E73"/>
    <w:rsid w:val="00716B48"/>
    <w:rsid w:val="0074309C"/>
    <w:rsid w:val="00744A07"/>
    <w:rsid w:val="00762E2C"/>
    <w:rsid w:val="007C4F34"/>
    <w:rsid w:val="007F6655"/>
    <w:rsid w:val="0080086D"/>
    <w:rsid w:val="008015BF"/>
    <w:rsid w:val="00832F46"/>
    <w:rsid w:val="00847942"/>
    <w:rsid w:val="00855CB1"/>
    <w:rsid w:val="00863308"/>
    <w:rsid w:val="00867E57"/>
    <w:rsid w:val="008813F2"/>
    <w:rsid w:val="00883CB3"/>
    <w:rsid w:val="00891FD7"/>
    <w:rsid w:val="008A5F07"/>
    <w:rsid w:val="008B44E4"/>
    <w:rsid w:val="008D1838"/>
    <w:rsid w:val="008D60E1"/>
    <w:rsid w:val="008F6CE9"/>
    <w:rsid w:val="008F7776"/>
    <w:rsid w:val="009205F9"/>
    <w:rsid w:val="009269D4"/>
    <w:rsid w:val="00931B4B"/>
    <w:rsid w:val="00940F0D"/>
    <w:rsid w:val="00943EA6"/>
    <w:rsid w:val="00944003"/>
    <w:rsid w:val="00985164"/>
    <w:rsid w:val="00986B90"/>
    <w:rsid w:val="009B5D96"/>
    <w:rsid w:val="009E60CB"/>
    <w:rsid w:val="009F0B0C"/>
    <w:rsid w:val="009F5B9F"/>
    <w:rsid w:val="00A0055D"/>
    <w:rsid w:val="00A03405"/>
    <w:rsid w:val="00A4423C"/>
    <w:rsid w:val="00A6751D"/>
    <w:rsid w:val="00AA1F5E"/>
    <w:rsid w:val="00AB0C44"/>
    <w:rsid w:val="00AB5D18"/>
    <w:rsid w:val="00AE27FD"/>
    <w:rsid w:val="00AF6197"/>
    <w:rsid w:val="00B144D0"/>
    <w:rsid w:val="00B4587E"/>
    <w:rsid w:val="00B74C89"/>
    <w:rsid w:val="00B7589D"/>
    <w:rsid w:val="00B80D98"/>
    <w:rsid w:val="00B83CC3"/>
    <w:rsid w:val="00BB0366"/>
    <w:rsid w:val="00BB2C14"/>
    <w:rsid w:val="00BB30F0"/>
    <w:rsid w:val="00BD66AF"/>
    <w:rsid w:val="00C016A3"/>
    <w:rsid w:val="00C23EBF"/>
    <w:rsid w:val="00C40EE8"/>
    <w:rsid w:val="00C60F26"/>
    <w:rsid w:val="00C8348B"/>
    <w:rsid w:val="00C862C2"/>
    <w:rsid w:val="00CA03D5"/>
    <w:rsid w:val="00CA4FFA"/>
    <w:rsid w:val="00CE125C"/>
    <w:rsid w:val="00CF0FB2"/>
    <w:rsid w:val="00D27E85"/>
    <w:rsid w:val="00D43223"/>
    <w:rsid w:val="00D4379D"/>
    <w:rsid w:val="00D51554"/>
    <w:rsid w:val="00D56A97"/>
    <w:rsid w:val="00E17AB0"/>
    <w:rsid w:val="00E46824"/>
    <w:rsid w:val="00E54EC2"/>
    <w:rsid w:val="00E54F47"/>
    <w:rsid w:val="00E86362"/>
    <w:rsid w:val="00EB23BC"/>
    <w:rsid w:val="00ED2EBF"/>
    <w:rsid w:val="00ED51A6"/>
    <w:rsid w:val="00EE08EA"/>
    <w:rsid w:val="00F00A55"/>
    <w:rsid w:val="00F10EFB"/>
    <w:rsid w:val="00F130E8"/>
    <w:rsid w:val="00F233D0"/>
    <w:rsid w:val="00F27C28"/>
    <w:rsid w:val="00F356FC"/>
    <w:rsid w:val="00F4301D"/>
    <w:rsid w:val="00F64133"/>
    <w:rsid w:val="00F66D82"/>
    <w:rsid w:val="00F70A84"/>
    <w:rsid w:val="00F81363"/>
    <w:rsid w:val="00F90641"/>
    <w:rsid w:val="00F93D00"/>
    <w:rsid w:val="00FD7D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34741"/>
  <w15:docId w15:val="{34518D6F-93DA-45AC-ADAF-0BD3F68D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9D"/>
  </w:style>
  <w:style w:type="paragraph" w:styleId="Heading2">
    <w:name w:val="heading 2"/>
    <w:basedOn w:val="Normal"/>
    <w:next w:val="Normal"/>
    <w:link w:val="Heading2Char"/>
    <w:uiPriority w:val="9"/>
    <w:unhideWhenUsed/>
    <w:qFormat/>
    <w:rsid w:val="002831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831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831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31F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831F5"/>
    <w:rPr>
      <w:rFonts w:ascii="Times New Roman" w:eastAsia="Times New Roman" w:hAnsi="Times New Roman" w:cs="Times New Roman"/>
      <w:b/>
      <w:bCs/>
      <w:sz w:val="24"/>
      <w:szCs w:val="24"/>
    </w:rPr>
  </w:style>
  <w:style w:type="paragraph" w:styleId="NormalWeb">
    <w:name w:val="Normal (Web)"/>
    <w:basedOn w:val="Normal"/>
    <w:uiPriority w:val="99"/>
    <w:unhideWhenUsed/>
    <w:rsid w:val="002831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31F5"/>
    <w:rPr>
      <w:b/>
      <w:bCs/>
    </w:rPr>
  </w:style>
  <w:style w:type="character" w:styleId="Emphasis">
    <w:name w:val="Emphasis"/>
    <w:basedOn w:val="DefaultParagraphFont"/>
    <w:uiPriority w:val="20"/>
    <w:qFormat/>
    <w:rsid w:val="002831F5"/>
    <w:rPr>
      <w:i/>
      <w:iCs/>
    </w:rPr>
  </w:style>
  <w:style w:type="character" w:customStyle="1" w:styleId="Heading2Char">
    <w:name w:val="Heading 2 Char"/>
    <w:basedOn w:val="DefaultParagraphFont"/>
    <w:link w:val="Heading2"/>
    <w:uiPriority w:val="9"/>
    <w:rsid w:val="002831F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0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929"/>
    <w:rPr>
      <w:rFonts w:ascii="Tahoma" w:hAnsi="Tahoma" w:cs="Tahoma"/>
      <w:sz w:val="16"/>
      <w:szCs w:val="16"/>
    </w:rPr>
  </w:style>
  <w:style w:type="paragraph" w:styleId="ListParagraph">
    <w:name w:val="List Paragraph"/>
    <w:basedOn w:val="Normal"/>
    <w:uiPriority w:val="34"/>
    <w:qFormat/>
    <w:rsid w:val="004E1498"/>
    <w:pPr>
      <w:bidi/>
      <w:ind w:left="720"/>
      <w:contextualSpacing/>
    </w:pPr>
    <w:rPr>
      <w:lang w:bidi="fa-IR"/>
    </w:rPr>
  </w:style>
  <w:style w:type="character" w:styleId="Hyperlink">
    <w:name w:val="Hyperlink"/>
    <w:basedOn w:val="DefaultParagraphFont"/>
    <w:uiPriority w:val="99"/>
    <w:unhideWhenUsed/>
    <w:rsid w:val="004E1498"/>
    <w:rPr>
      <w:color w:val="0000FF" w:themeColor="hyperlink"/>
      <w:u w:val="single"/>
    </w:rPr>
  </w:style>
  <w:style w:type="paragraph" w:customStyle="1" w:styleId="p1">
    <w:name w:val="p1"/>
    <w:basedOn w:val="Normal"/>
    <w:rsid w:val="004E1498"/>
    <w:pPr>
      <w:spacing w:after="0" w:line="240" w:lineRule="auto"/>
    </w:pPr>
    <w:rPr>
      <w:rFonts w:ascii="Helvetica" w:eastAsiaTheme="minorEastAsia" w:hAnsi="Helvetica" w:cs="Times New Roman"/>
      <w:color w:val="000000"/>
      <w:sz w:val="18"/>
      <w:szCs w:val="18"/>
      <w:lang w:eastAsia="en-GB"/>
    </w:rPr>
  </w:style>
  <w:style w:type="character" w:customStyle="1" w:styleId="s1">
    <w:name w:val="s1"/>
    <w:basedOn w:val="DefaultParagraphFont"/>
    <w:rsid w:val="004E1498"/>
    <w:rPr>
      <w:rFonts w:ascii="Helvetica" w:hAnsi="Helvetica" w:hint="default"/>
      <w:b w:val="0"/>
      <w:bCs w:val="0"/>
      <w:i w:val="0"/>
      <w:iCs w:val="0"/>
      <w:sz w:val="18"/>
      <w:szCs w:val="18"/>
    </w:rPr>
  </w:style>
  <w:style w:type="character" w:customStyle="1" w:styleId="katex">
    <w:name w:val="katex"/>
    <w:basedOn w:val="DefaultParagraphFont"/>
    <w:rsid w:val="00117D0B"/>
  </w:style>
  <w:style w:type="table" w:styleId="TableGrid">
    <w:name w:val="Table Grid"/>
    <w:basedOn w:val="TableNormal"/>
    <w:uiPriority w:val="39"/>
    <w:rsid w:val="00117D0B"/>
    <w:pPr>
      <w:spacing w:after="0" w:line="240" w:lineRule="auto"/>
    </w:pPr>
    <w:rPr>
      <w:kern w:val="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117D0B"/>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rsid w:val="00117D0B"/>
    <w:rPr>
      <w:rFonts w:ascii="Times New Roman" w:eastAsia="Times New Roman" w:hAnsi="Times New Roman" w:cs="B Zar"/>
      <w:sz w:val="28"/>
      <w:szCs w:val="28"/>
    </w:rPr>
  </w:style>
  <w:style w:type="character" w:styleId="LineNumber">
    <w:name w:val="line number"/>
    <w:basedOn w:val="DefaultParagraphFont"/>
    <w:uiPriority w:val="99"/>
    <w:semiHidden/>
    <w:unhideWhenUsed/>
    <w:rsid w:val="00117D0B"/>
  </w:style>
  <w:style w:type="paragraph" w:styleId="Header">
    <w:name w:val="header"/>
    <w:basedOn w:val="Normal"/>
    <w:link w:val="HeaderChar"/>
    <w:unhideWhenUsed/>
    <w:rsid w:val="00D27E85"/>
    <w:pPr>
      <w:tabs>
        <w:tab w:val="center" w:pos="4680"/>
        <w:tab w:val="right" w:pos="9360"/>
      </w:tabs>
      <w:spacing w:after="0" w:line="240" w:lineRule="auto"/>
    </w:pPr>
  </w:style>
  <w:style w:type="character" w:customStyle="1" w:styleId="HeaderChar">
    <w:name w:val="Header Char"/>
    <w:basedOn w:val="DefaultParagraphFont"/>
    <w:link w:val="Header"/>
    <w:rsid w:val="00D27E85"/>
  </w:style>
  <w:style w:type="paragraph" w:styleId="Footer">
    <w:name w:val="footer"/>
    <w:basedOn w:val="Normal"/>
    <w:link w:val="FooterChar"/>
    <w:uiPriority w:val="99"/>
    <w:unhideWhenUsed/>
    <w:rsid w:val="00D27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E85"/>
  </w:style>
  <w:style w:type="character" w:customStyle="1" w:styleId="katex-mathml">
    <w:name w:val="katex-mathml"/>
    <w:basedOn w:val="DefaultParagraphFont"/>
    <w:rsid w:val="002758BC"/>
  </w:style>
  <w:style w:type="character" w:customStyle="1" w:styleId="mopen">
    <w:name w:val="mopen"/>
    <w:basedOn w:val="DefaultParagraphFont"/>
    <w:rsid w:val="002758BC"/>
  </w:style>
  <w:style w:type="character" w:customStyle="1" w:styleId="mord">
    <w:name w:val="mord"/>
    <w:basedOn w:val="DefaultParagraphFont"/>
    <w:rsid w:val="002758BC"/>
  </w:style>
  <w:style w:type="character" w:customStyle="1" w:styleId="mbin">
    <w:name w:val="mbin"/>
    <w:basedOn w:val="DefaultParagraphFont"/>
    <w:rsid w:val="002758BC"/>
  </w:style>
  <w:style w:type="character" w:customStyle="1" w:styleId="mclose">
    <w:name w:val="mclose"/>
    <w:basedOn w:val="DefaultParagraphFont"/>
    <w:rsid w:val="002758BC"/>
  </w:style>
  <w:style w:type="character" w:customStyle="1" w:styleId="UnresolvedMention1">
    <w:name w:val="Unresolved Mention1"/>
    <w:basedOn w:val="DefaultParagraphFont"/>
    <w:uiPriority w:val="99"/>
    <w:semiHidden/>
    <w:unhideWhenUsed/>
    <w:rsid w:val="00430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4806">
      <w:bodyDiv w:val="1"/>
      <w:marLeft w:val="0"/>
      <w:marRight w:val="0"/>
      <w:marTop w:val="0"/>
      <w:marBottom w:val="0"/>
      <w:divBdr>
        <w:top w:val="none" w:sz="0" w:space="0" w:color="auto"/>
        <w:left w:val="none" w:sz="0" w:space="0" w:color="auto"/>
        <w:bottom w:val="none" w:sz="0" w:space="0" w:color="auto"/>
        <w:right w:val="none" w:sz="0" w:space="0" w:color="auto"/>
      </w:divBdr>
      <w:divsChild>
        <w:div w:id="193941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19221">
      <w:bodyDiv w:val="1"/>
      <w:marLeft w:val="0"/>
      <w:marRight w:val="0"/>
      <w:marTop w:val="0"/>
      <w:marBottom w:val="0"/>
      <w:divBdr>
        <w:top w:val="none" w:sz="0" w:space="0" w:color="auto"/>
        <w:left w:val="none" w:sz="0" w:space="0" w:color="auto"/>
        <w:bottom w:val="none" w:sz="0" w:space="0" w:color="auto"/>
        <w:right w:val="none" w:sz="0" w:space="0" w:color="auto"/>
      </w:divBdr>
    </w:div>
    <w:div w:id="85007177">
      <w:bodyDiv w:val="1"/>
      <w:marLeft w:val="0"/>
      <w:marRight w:val="0"/>
      <w:marTop w:val="0"/>
      <w:marBottom w:val="0"/>
      <w:divBdr>
        <w:top w:val="none" w:sz="0" w:space="0" w:color="auto"/>
        <w:left w:val="none" w:sz="0" w:space="0" w:color="auto"/>
        <w:bottom w:val="none" w:sz="0" w:space="0" w:color="auto"/>
        <w:right w:val="none" w:sz="0" w:space="0" w:color="auto"/>
      </w:divBdr>
    </w:div>
    <w:div w:id="88935176">
      <w:bodyDiv w:val="1"/>
      <w:marLeft w:val="0"/>
      <w:marRight w:val="0"/>
      <w:marTop w:val="0"/>
      <w:marBottom w:val="0"/>
      <w:divBdr>
        <w:top w:val="none" w:sz="0" w:space="0" w:color="auto"/>
        <w:left w:val="none" w:sz="0" w:space="0" w:color="auto"/>
        <w:bottom w:val="none" w:sz="0" w:space="0" w:color="auto"/>
        <w:right w:val="none" w:sz="0" w:space="0" w:color="auto"/>
      </w:divBdr>
    </w:div>
    <w:div w:id="176239799">
      <w:bodyDiv w:val="1"/>
      <w:marLeft w:val="0"/>
      <w:marRight w:val="0"/>
      <w:marTop w:val="0"/>
      <w:marBottom w:val="0"/>
      <w:divBdr>
        <w:top w:val="none" w:sz="0" w:space="0" w:color="auto"/>
        <w:left w:val="none" w:sz="0" w:space="0" w:color="auto"/>
        <w:bottom w:val="none" w:sz="0" w:space="0" w:color="auto"/>
        <w:right w:val="none" w:sz="0" w:space="0" w:color="auto"/>
      </w:divBdr>
    </w:div>
    <w:div w:id="177889184">
      <w:bodyDiv w:val="1"/>
      <w:marLeft w:val="0"/>
      <w:marRight w:val="0"/>
      <w:marTop w:val="0"/>
      <w:marBottom w:val="0"/>
      <w:divBdr>
        <w:top w:val="none" w:sz="0" w:space="0" w:color="auto"/>
        <w:left w:val="none" w:sz="0" w:space="0" w:color="auto"/>
        <w:bottom w:val="none" w:sz="0" w:space="0" w:color="auto"/>
        <w:right w:val="none" w:sz="0" w:space="0" w:color="auto"/>
      </w:divBdr>
    </w:div>
    <w:div w:id="218248401">
      <w:bodyDiv w:val="1"/>
      <w:marLeft w:val="0"/>
      <w:marRight w:val="0"/>
      <w:marTop w:val="0"/>
      <w:marBottom w:val="0"/>
      <w:divBdr>
        <w:top w:val="none" w:sz="0" w:space="0" w:color="auto"/>
        <w:left w:val="none" w:sz="0" w:space="0" w:color="auto"/>
        <w:bottom w:val="none" w:sz="0" w:space="0" w:color="auto"/>
        <w:right w:val="none" w:sz="0" w:space="0" w:color="auto"/>
      </w:divBdr>
    </w:div>
    <w:div w:id="356738972">
      <w:bodyDiv w:val="1"/>
      <w:marLeft w:val="0"/>
      <w:marRight w:val="0"/>
      <w:marTop w:val="0"/>
      <w:marBottom w:val="0"/>
      <w:divBdr>
        <w:top w:val="none" w:sz="0" w:space="0" w:color="auto"/>
        <w:left w:val="none" w:sz="0" w:space="0" w:color="auto"/>
        <w:bottom w:val="none" w:sz="0" w:space="0" w:color="auto"/>
        <w:right w:val="none" w:sz="0" w:space="0" w:color="auto"/>
      </w:divBdr>
    </w:div>
    <w:div w:id="373310182">
      <w:bodyDiv w:val="1"/>
      <w:marLeft w:val="0"/>
      <w:marRight w:val="0"/>
      <w:marTop w:val="0"/>
      <w:marBottom w:val="0"/>
      <w:divBdr>
        <w:top w:val="none" w:sz="0" w:space="0" w:color="auto"/>
        <w:left w:val="none" w:sz="0" w:space="0" w:color="auto"/>
        <w:bottom w:val="none" w:sz="0" w:space="0" w:color="auto"/>
        <w:right w:val="none" w:sz="0" w:space="0" w:color="auto"/>
      </w:divBdr>
    </w:div>
    <w:div w:id="566065138">
      <w:bodyDiv w:val="1"/>
      <w:marLeft w:val="0"/>
      <w:marRight w:val="0"/>
      <w:marTop w:val="0"/>
      <w:marBottom w:val="0"/>
      <w:divBdr>
        <w:top w:val="none" w:sz="0" w:space="0" w:color="auto"/>
        <w:left w:val="none" w:sz="0" w:space="0" w:color="auto"/>
        <w:bottom w:val="none" w:sz="0" w:space="0" w:color="auto"/>
        <w:right w:val="none" w:sz="0" w:space="0" w:color="auto"/>
      </w:divBdr>
    </w:div>
    <w:div w:id="587613160">
      <w:bodyDiv w:val="1"/>
      <w:marLeft w:val="0"/>
      <w:marRight w:val="0"/>
      <w:marTop w:val="0"/>
      <w:marBottom w:val="0"/>
      <w:divBdr>
        <w:top w:val="none" w:sz="0" w:space="0" w:color="auto"/>
        <w:left w:val="none" w:sz="0" w:space="0" w:color="auto"/>
        <w:bottom w:val="none" w:sz="0" w:space="0" w:color="auto"/>
        <w:right w:val="none" w:sz="0" w:space="0" w:color="auto"/>
      </w:divBdr>
    </w:div>
    <w:div w:id="594435690">
      <w:bodyDiv w:val="1"/>
      <w:marLeft w:val="0"/>
      <w:marRight w:val="0"/>
      <w:marTop w:val="0"/>
      <w:marBottom w:val="0"/>
      <w:divBdr>
        <w:top w:val="none" w:sz="0" w:space="0" w:color="auto"/>
        <w:left w:val="none" w:sz="0" w:space="0" w:color="auto"/>
        <w:bottom w:val="none" w:sz="0" w:space="0" w:color="auto"/>
        <w:right w:val="none" w:sz="0" w:space="0" w:color="auto"/>
      </w:divBdr>
    </w:div>
    <w:div w:id="624652237">
      <w:bodyDiv w:val="1"/>
      <w:marLeft w:val="0"/>
      <w:marRight w:val="0"/>
      <w:marTop w:val="0"/>
      <w:marBottom w:val="0"/>
      <w:divBdr>
        <w:top w:val="none" w:sz="0" w:space="0" w:color="auto"/>
        <w:left w:val="none" w:sz="0" w:space="0" w:color="auto"/>
        <w:bottom w:val="none" w:sz="0" w:space="0" w:color="auto"/>
        <w:right w:val="none" w:sz="0" w:space="0" w:color="auto"/>
      </w:divBdr>
    </w:div>
    <w:div w:id="676077252">
      <w:bodyDiv w:val="1"/>
      <w:marLeft w:val="0"/>
      <w:marRight w:val="0"/>
      <w:marTop w:val="0"/>
      <w:marBottom w:val="0"/>
      <w:divBdr>
        <w:top w:val="none" w:sz="0" w:space="0" w:color="auto"/>
        <w:left w:val="none" w:sz="0" w:space="0" w:color="auto"/>
        <w:bottom w:val="none" w:sz="0" w:space="0" w:color="auto"/>
        <w:right w:val="none" w:sz="0" w:space="0" w:color="auto"/>
      </w:divBdr>
    </w:div>
    <w:div w:id="713969132">
      <w:bodyDiv w:val="1"/>
      <w:marLeft w:val="0"/>
      <w:marRight w:val="0"/>
      <w:marTop w:val="0"/>
      <w:marBottom w:val="0"/>
      <w:divBdr>
        <w:top w:val="none" w:sz="0" w:space="0" w:color="auto"/>
        <w:left w:val="none" w:sz="0" w:space="0" w:color="auto"/>
        <w:bottom w:val="none" w:sz="0" w:space="0" w:color="auto"/>
        <w:right w:val="none" w:sz="0" w:space="0" w:color="auto"/>
      </w:divBdr>
    </w:div>
    <w:div w:id="826896080">
      <w:bodyDiv w:val="1"/>
      <w:marLeft w:val="0"/>
      <w:marRight w:val="0"/>
      <w:marTop w:val="0"/>
      <w:marBottom w:val="0"/>
      <w:divBdr>
        <w:top w:val="none" w:sz="0" w:space="0" w:color="auto"/>
        <w:left w:val="none" w:sz="0" w:space="0" w:color="auto"/>
        <w:bottom w:val="none" w:sz="0" w:space="0" w:color="auto"/>
        <w:right w:val="none" w:sz="0" w:space="0" w:color="auto"/>
      </w:divBdr>
    </w:div>
    <w:div w:id="850490478">
      <w:bodyDiv w:val="1"/>
      <w:marLeft w:val="0"/>
      <w:marRight w:val="0"/>
      <w:marTop w:val="0"/>
      <w:marBottom w:val="0"/>
      <w:divBdr>
        <w:top w:val="none" w:sz="0" w:space="0" w:color="auto"/>
        <w:left w:val="none" w:sz="0" w:space="0" w:color="auto"/>
        <w:bottom w:val="none" w:sz="0" w:space="0" w:color="auto"/>
        <w:right w:val="none" w:sz="0" w:space="0" w:color="auto"/>
      </w:divBdr>
    </w:div>
    <w:div w:id="855970053">
      <w:bodyDiv w:val="1"/>
      <w:marLeft w:val="0"/>
      <w:marRight w:val="0"/>
      <w:marTop w:val="0"/>
      <w:marBottom w:val="0"/>
      <w:divBdr>
        <w:top w:val="none" w:sz="0" w:space="0" w:color="auto"/>
        <w:left w:val="none" w:sz="0" w:space="0" w:color="auto"/>
        <w:bottom w:val="none" w:sz="0" w:space="0" w:color="auto"/>
        <w:right w:val="none" w:sz="0" w:space="0" w:color="auto"/>
      </w:divBdr>
    </w:div>
    <w:div w:id="862401766">
      <w:bodyDiv w:val="1"/>
      <w:marLeft w:val="0"/>
      <w:marRight w:val="0"/>
      <w:marTop w:val="0"/>
      <w:marBottom w:val="0"/>
      <w:divBdr>
        <w:top w:val="none" w:sz="0" w:space="0" w:color="auto"/>
        <w:left w:val="none" w:sz="0" w:space="0" w:color="auto"/>
        <w:bottom w:val="none" w:sz="0" w:space="0" w:color="auto"/>
        <w:right w:val="none" w:sz="0" w:space="0" w:color="auto"/>
      </w:divBdr>
    </w:div>
    <w:div w:id="874929866">
      <w:bodyDiv w:val="1"/>
      <w:marLeft w:val="0"/>
      <w:marRight w:val="0"/>
      <w:marTop w:val="0"/>
      <w:marBottom w:val="0"/>
      <w:divBdr>
        <w:top w:val="none" w:sz="0" w:space="0" w:color="auto"/>
        <w:left w:val="none" w:sz="0" w:space="0" w:color="auto"/>
        <w:bottom w:val="none" w:sz="0" w:space="0" w:color="auto"/>
        <w:right w:val="none" w:sz="0" w:space="0" w:color="auto"/>
      </w:divBdr>
    </w:div>
    <w:div w:id="890504045">
      <w:bodyDiv w:val="1"/>
      <w:marLeft w:val="0"/>
      <w:marRight w:val="0"/>
      <w:marTop w:val="0"/>
      <w:marBottom w:val="0"/>
      <w:divBdr>
        <w:top w:val="none" w:sz="0" w:space="0" w:color="auto"/>
        <w:left w:val="none" w:sz="0" w:space="0" w:color="auto"/>
        <w:bottom w:val="none" w:sz="0" w:space="0" w:color="auto"/>
        <w:right w:val="none" w:sz="0" w:space="0" w:color="auto"/>
      </w:divBdr>
    </w:div>
    <w:div w:id="935483995">
      <w:bodyDiv w:val="1"/>
      <w:marLeft w:val="0"/>
      <w:marRight w:val="0"/>
      <w:marTop w:val="0"/>
      <w:marBottom w:val="0"/>
      <w:divBdr>
        <w:top w:val="none" w:sz="0" w:space="0" w:color="auto"/>
        <w:left w:val="none" w:sz="0" w:space="0" w:color="auto"/>
        <w:bottom w:val="none" w:sz="0" w:space="0" w:color="auto"/>
        <w:right w:val="none" w:sz="0" w:space="0" w:color="auto"/>
      </w:divBdr>
    </w:div>
    <w:div w:id="963078907">
      <w:bodyDiv w:val="1"/>
      <w:marLeft w:val="0"/>
      <w:marRight w:val="0"/>
      <w:marTop w:val="0"/>
      <w:marBottom w:val="0"/>
      <w:divBdr>
        <w:top w:val="none" w:sz="0" w:space="0" w:color="auto"/>
        <w:left w:val="none" w:sz="0" w:space="0" w:color="auto"/>
        <w:bottom w:val="none" w:sz="0" w:space="0" w:color="auto"/>
        <w:right w:val="none" w:sz="0" w:space="0" w:color="auto"/>
      </w:divBdr>
    </w:div>
    <w:div w:id="1012494711">
      <w:bodyDiv w:val="1"/>
      <w:marLeft w:val="0"/>
      <w:marRight w:val="0"/>
      <w:marTop w:val="0"/>
      <w:marBottom w:val="0"/>
      <w:divBdr>
        <w:top w:val="none" w:sz="0" w:space="0" w:color="auto"/>
        <w:left w:val="none" w:sz="0" w:space="0" w:color="auto"/>
        <w:bottom w:val="none" w:sz="0" w:space="0" w:color="auto"/>
        <w:right w:val="none" w:sz="0" w:space="0" w:color="auto"/>
      </w:divBdr>
    </w:div>
    <w:div w:id="1068579097">
      <w:bodyDiv w:val="1"/>
      <w:marLeft w:val="0"/>
      <w:marRight w:val="0"/>
      <w:marTop w:val="0"/>
      <w:marBottom w:val="0"/>
      <w:divBdr>
        <w:top w:val="none" w:sz="0" w:space="0" w:color="auto"/>
        <w:left w:val="none" w:sz="0" w:space="0" w:color="auto"/>
        <w:bottom w:val="none" w:sz="0" w:space="0" w:color="auto"/>
        <w:right w:val="none" w:sz="0" w:space="0" w:color="auto"/>
      </w:divBdr>
    </w:div>
    <w:div w:id="1081751369">
      <w:bodyDiv w:val="1"/>
      <w:marLeft w:val="0"/>
      <w:marRight w:val="0"/>
      <w:marTop w:val="0"/>
      <w:marBottom w:val="0"/>
      <w:divBdr>
        <w:top w:val="none" w:sz="0" w:space="0" w:color="auto"/>
        <w:left w:val="none" w:sz="0" w:space="0" w:color="auto"/>
        <w:bottom w:val="none" w:sz="0" w:space="0" w:color="auto"/>
        <w:right w:val="none" w:sz="0" w:space="0" w:color="auto"/>
      </w:divBdr>
    </w:div>
    <w:div w:id="1107778388">
      <w:bodyDiv w:val="1"/>
      <w:marLeft w:val="0"/>
      <w:marRight w:val="0"/>
      <w:marTop w:val="0"/>
      <w:marBottom w:val="0"/>
      <w:divBdr>
        <w:top w:val="none" w:sz="0" w:space="0" w:color="auto"/>
        <w:left w:val="none" w:sz="0" w:space="0" w:color="auto"/>
        <w:bottom w:val="none" w:sz="0" w:space="0" w:color="auto"/>
        <w:right w:val="none" w:sz="0" w:space="0" w:color="auto"/>
      </w:divBdr>
    </w:div>
    <w:div w:id="1114328009">
      <w:bodyDiv w:val="1"/>
      <w:marLeft w:val="0"/>
      <w:marRight w:val="0"/>
      <w:marTop w:val="0"/>
      <w:marBottom w:val="0"/>
      <w:divBdr>
        <w:top w:val="none" w:sz="0" w:space="0" w:color="auto"/>
        <w:left w:val="none" w:sz="0" w:space="0" w:color="auto"/>
        <w:bottom w:val="none" w:sz="0" w:space="0" w:color="auto"/>
        <w:right w:val="none" w:sz="0" w:space="0" w:color="auto"/>
      </w:divBdr>
    </w:div>
    <w:div w:id="1128090316">
      <w:bodyDiv w:val="1"/>
      <w:marLeft w:val="0"/>
      <w:marRight w:val="0"/>
      <w:marTop w:val="0"/>
      <w:marBottom w:val="0"/>
      <w:divBdr>
        <w:top w:val="none" w:sz="0" w:space="0" w:color="auto"/>
        <w:left w:val="none" w:sz="0" w:space="0" w:color="auto"/>
        <w:bottom w:val="none" w:sz="0" w:space="0" w:color="auto"/>
        <w:right w:val="none" w:sz="0" w:space="0" w:color="auto"/>
      </w:divBdr>
    </w:div>
    <w:div w:id="1162232131">
      <w:bodyDiv w:val="1"/>
      <w:marLeft w:val="0"/>
      <w:marRight w:val="0"/>
      <w:marTop w:val="0"/>
      <w:marBottom w:val="0"/>
      <w:divBdr>
        <w:top w:val="none" w:sz="0" w:space="0" w:color="auto"/>
        <w:left w:val="none" w:sz="0" w:space="0" w:color="auto"/>
        <w:bottom w:val="none" w:sz="0" w:space="0" w:color="auto"/>
        <w:right w:val="none" w:sz="0" w:space="0" w:color="auto"/>
      </w:divBdr>
    </w:div>
    <w:div w:id="1296061447">
      <w:bodyDiv w:val="1"/>
      <w:marLeft w:val="0"/>
      <w:marRight w:val="0"/>
      <w:marTop w:val="0"/>
      <w:marBottom w:val="0"/>
      <w:divBdr>
        <w:top w:val="none" w:sz="0" w:space="0" w:color="auto"/>
        <w:left w:val="none" w:sz="0" w:space="0" w:color="auto"/>
        <w:bottom w:val="none" w:sz="0" w:space="0" w:color="auto"/>
        <w:right w:val="none" w:sz="0" w:space="0" w:color="auto"/>
      </w:divBdr>
    </w:div>
    <w:div w:id="1322808437">
      <w:bodyDiv w:val="1"/>
      <w:marLeft w:val="0"/>
      <w:marRight w:val="0"/>
      <w:marTop w:val="0"/>
      <w:marBottom w:val="0"/>
      <w:divBdr>
        <w:top w:val="none" w:sz="0" w:space="0" w:color="auto"/>
        <w:left w:val="none" w:sz="0" w:space="0" w:color="auto"/>
        <w:bottom w:val="none" w:sz="0" w:space="0" w:color="auto"/>
        <w:right w:val="none" w:sz="0" w:space="0" w:color="auto"/>
      </w:divBdr>
    </w:div>
    <w:div w:id="1337537100">
      <w:bodyDiv w:val="1"/>
      <w:marLeft w:val="0"/>
      <w:marRight w:val="0"/>
      <w:marTop w:val="0"/>
      <w:marBottom w:val="0"/>
      <w:divBdr>
        <w:top w:val="none" w:sz="0" w:space="0" w:color="auto"/>
        <w:left w:val="none" w:sz="0" w:space="0" w:color="auto"/>
        <w:bottom w:val="none" w:sz="0" w:space="0" w:color="auto"/>
        <w:right w:val="none" w:sz="0" w:space="0" w:color="auto"/>
      </w:divBdr>
    </w:div>
    <w:div w:id="1426271053">
      <w:bodyDiv w:val="1"/>
      <w:marLeft w:val="0"/>
      <w:marRight w:val="0"/>
      <w:marTop w:val="0"/>
      <w:marBottom w:val="0"/>
      <w:divBdr>
        <w:top w:val="none" w:sz="0" w:space="0" w:color="auto"/>
        <w:left w:val="none" w:sz="0" w:space="0" w:color="auto"/>
        <w:bottom w:val="none" w:sz="0" w:space="0" w:color="auto"/>
        <w:right w:val="none" w:sz="0" w:space="0" w:color="auto"/>
      </w:divBdr>
    </w:div>
    <w:div w:id="1455520993">
      <w:bodyDiv w:val="1"/>
      <w:marLeft w:val="0"/>
      <w:marRight w:val="0"/>
      <w:marTop w:val="0"/>
      <w:marBottom w:val="0"/>
      <w:divBdr>
        <w:top w:val="none" w:sz="0" w:space="0" w:color="auto"/>
        <w:left w:val="none" w:sz="0" w:space="0" w:color="auto"/>
        <w:bottom w:val="none" w:sz="0" w:space="0" w:color="auto"/>
        <w:right w:val="none" w:sz="0" w:space="0" w:color="auto"/>
      </w:divBdr>
    </w:div>
    <w:div w:id="1492722073">
      <w:bodyDiv w:val="1"/>
      <w:marLeft w:val="0"/>
      <w:marRight w:val="0"/>
      <w:marTop w:val="0"/>
      <w:marBottom w:val="0"/>
      <w:divBdr>
        <w:top w:val="none" w:sz="0" w:space="0" w:color="auto"/>
        <w:left w:val="none" w:sz="0" w:space="0" w:color="auto"/>
        <w:bottom w:val="none" w:sz="0" w:space="0" w:color="auto"/>
        <w:right w:val="none" w:sz="0" w:space="0" w:color="auto"/>
      </w:divBdr>
    </w:div>
    <w:div w:id="1596283714">
      <w:bodyDiv w:val="1"/>
      <w:marLeft w:val="0"/>
      <w:marRight w:val="0"/>
      <w:marTop w:val="0"/>
      <w:marBottom w:val="0"/>
      <w:divBdr>
        <w:top w:val="none" w:sz="0" w:space="0" w:color="auto"/>
        <w:left w:val="none" w:sz="0" w:space="0" w:color="auto"/>
        <w:bottom w:val="none" w:sz="0" w:space="0" w:color="auto"/>
        <w:right w:val="none" w:sz="0" w:space="0" w:color="auto"/>
      </w:divBdr>
    </w:div>
    <w:div w:id="1676375214">
      <w:bodyDiv w:val="1"/>
      <w:marLeft w:val="0"/>
      <w:marRight w:val="0"/>
      <w:marTop w:val="0"/>
      <w:marBottom w:val="0"/>
      <w:divBdr>
        <w:top w:val="none" w:sz="0" w:space="0" w:color="auto"/>
        <w:left w:val="none" w:sz="0" w:space="0" w:color="auto"/>
        <w:bottom w:val="none" w:sz="0" w:space="0" w:color="auto"/>
        <w:right w:val="none" w:sz="0" w:space="0" w:color="auto"/>
      </w:divBdr>
    </w:div>
    <w:div w:id="1710300762">
      <w:bodyDiv w:val="1"/>
      <w:marLeft w:val="0"/>
      <w:marRight w:val="0"/>
      <w:marTop w:val="0"/>
      <w:marBottom w:val="0"/>
      <w:divBdr>
        <w:top w:val="none" w:sz="0" w:space="0" w:color="auto"/>
        <w:left w:val="none" w:sz="0" w:space="0" w:color="auto"/>
        <w:bottom w:val="none" w:sz="0" w:space="0" w:color="auto"/>
        <w:right w:val="none" w:sz="0" w:space="0" w:color="auto"/>
      </w:divBdr>
    </w:div>
    <w:div w:id="1779567857">
      <w:bodyDiv w:val="1"/>
      <w:marLeft w:val="0"/>
      <w:marRight w:val="0"/>
      <w:marTop w:val="0"/>
      <w:marBottom w:val="0"/>
      <w:divBdr>
        <w:top w:val="none" w:sz="0" w:space="0" w:color="auto"/>
        <w:left w:val="none" w:sz="0" w:space="0" w:color="auto"/>
        <w:bottom w:val="none" w:sz="0" w:space="0" w:color="auto"/>
        <w:right w:val="none" w:sz="0" w:space="0" w:color="auto"/>
      </w:divBdr>
    </w:div>
    <w:div w:id="1792360302">
      <w:bodyDiv w:val="1"/>
      <w:marLeft w:val="0"/>
      <w:marRight w:val="0"/>
      <w:marTop w:val="0"/>
      <w:marBottom w:val="0"/>
      <w:divBdr>
        <w:top w:val="none" w:sz="0" w:space="0" w:color="auto"/>
        <w:left w:val="none" w:sz="0" w:space="0" w:color="auto"/>
        <w:bottom w:val="none" w:sz="0" w:space="0" w:color="auto"/>
        <w:right w:val="none" w:sz="0" w:space="0" w:color="auto"/>
      </w:divBdr>
    </w:div>
    <w:div w:id="1820610725">
      <w:bodyDiv w:val="1"/>
      <w:marLeft w:val="0"/>
      <w:marRight w:val="0"/>
      <w:marTop w:val="0"/>
      <w:marBottom w:val="0"/>
      <w:divBdr>
        <w:top w:val="none" w:sz="0" w:space="0" w:color="auto"/>
        <w:left w:val="none" w:sz="0" w:space="0" w:color="auto"/>
        <w:bottom w:val="none" w:sz="0" w:space="0" w:color="auto"/>
        <w:right w:val="none" w:sz="0" w:space="0" w:color="auto"/>
      </w:divBdr>
    </w:div>
    <w:div w:id="1852255494">
      <w:bodyDiv w:val="1"/>
      <w:marLeft w:val="0"/>
      <w:marRight w:val="0"/>
      <w:marTop w:val="0"/>
      <w:marBottom w:val="0"/>
      <w:divBdr>
        <w:top w:val="none" w:sz="0" w:space="0" w:color="auto"/>
        <w:left w:val="none" w:sz="0" w:space="0" w:color="auto"/>
        <w:bottom w:val="none" w:sz="0" w:space="0" w:color="auto"/>
        <w:right w:val="none" w:sz="0" w:space="0" w:color="auto"/>
      </w:divBdr>
    </w:div>
    <w:div w:id="1967807365">
      <w:bodyDiv w:val="1"/>
      <w:marLeft w:val="0"/>
      <w:marRight w:val="0"/>
      <w:marTop w:val="0"/>
      <w:marBottom w:val="0"/>
      <w:divBdr>
        <w:top w:val="none" w:sz="0" w:space="0" w:color="auto"/>
        <w:left w:val="none" w:sz="0" w:space="0" w:color="auto"/>
        <w:bottom w:val="none" w:sz="0" w:space="0" w:color="auto"/>
        <w:right w:val="none" w:sz="0" w:space="0" w:color="auto"/>
      </w:divBdr>
    </w:div>
    <w:div w:id="2011790898">
      <w:bodyDiv w:val="1"/>
      <w:marLeft w:val="0"/>
      <w:marRight w:val="0"/>
      <w:marTop w:val="0"/>
      <w:marBottom w:val="0"/>
      <w:divBdr>
        <w:top w:val="none" w:sz="0" w:space="0" w:color="auto"/>
        <w:left w:val="none" w:sz="0" w:space="0" w:color="auto"/>
        <w:bottom w:val="none" w:sz="0" w:space="0" w:color="auto"/>
        <w:right w:val="none" w:sz="0" w:space="0" w:color="auto"/>
      </w:divBdr>
    </w:div>
    <w:div w:id="2049987560">
      <w:bodyDiv w:val="1"/>
      <w:marLeft w:val="0"/>
      <w:marRight w:val="0"/>
      <w:marTop w:val="0"/>
      <w:marBottom w:val="0"/>
      <w:divBdr>
        <w:top w:val="none" w:sz="0" w:space="0" w:color="auto"/>
        <w:left w:val="none" w:sz="0" w:space="0" w:color="auto"/>
        <w:bottom w:val="none" w:sz="0" w:space="0" w:color="auto"/>
        <w:right w:val="none" w:sz="0" w:space="0" w:color="auto"/>
      </w:divBdr>
    </w:div>
    <w:div w:id="2078237770">
      <w:bodyDiv w:val="1"/>
      <w:marLeft w:val="0"/>
      <w:marRight w:val="0"/>
      <w:marTop w:val="0"/>
      <w:marBottom w:val="0"/>
      <w:divBdr>
        <w:top w:val="none" w:sz="0" w:space="0" w:color="auto"/>
        <w:left w:val="none" w:sz="0" w:space="0" w:color="auto"/>
        <w:bottom w:val="none" w:sz="0" w:space="0" w:color="auto"/>
        <w:right w:val="none" w:sz="0" w:space="0" w:color="auto"/>
      </w:divBdr>
    </w:div>
    <w:div w:id="2078747221">
      <w:bodyDiv w:val="1"/>
      <w:marLeft w:val="0"/>
      <w:marRight w:val="0"/>
      <w:marTop w:val="0"/>
      <w:marBottom w:val="0"/>
      <w:divBdr>
        <w:top w:val="none" w:sz="0" w:space="0" w:color="auto"/>
        <w:left w:val="none" w:sz="0" w:space="0" w:color="auto"/>
        <w:bottom w:val="none" w:sz="0" w:space="0" w:color="auto"/>
        <w:right w:val="none" w:sz="0" w:space="0" w:color="auto"/>
      </w:divBdr>
      <w:divsChild>
        <w:div w:id="1967659446">
          <w:marLeft w:val="0"/>
          <w:marRight w:val="0"/>
          <w:marTop w:val="0"/>
          <w:marBottom w:val="0"/>
          <w:divBdr>
            <w:top w:val="none" w:sz="0" w:space="0" w:color="auto"/>
            <w:left w:val="none" w:sz="0" w:space="0" w:color="auto"/>
            <w:bottom w:val="none" w:sz="0" w:space="0" w:color="auto"/>
            <w:right w:val="none" w:sz="0" w:space="0" w:color="auto"/>
          </w:divBdr>
          <w:divsChild>
            <w:div w:id="1400203981">
              <w:marLeft w:val="0"/>
              <w:marRight w:val="0"/>
              <w:marTop w:val="0"/>
              <w:marBottom w:val="0"/>
              <w:divBdr>
                <w:top w:val="none" w:sz="0" w:space="0" w:color="auto"/>
                <w:left w:val="none" w:sz="0" w:space="0" w:color="auto"/>
                <w:bottom w:val="none" w:sz="0" w:space="0" w:color="auto"/>
                <w:right w:val="none" w:sz="0" w:space="0" w:color="auto"/>
              </w:divBdr>
              <w:divsChild>
                <w:div w:id="1737360393">
                  <w:marLeft w:val="0"/>
                  <w:marRight w:val="0"/>
                  <w:marTop w:val="0"/>
                  <w:marBottom w:val="0"/>
                  <w:divBdr>
                    <w:top w:val="none" w:sz="0" w:space="0" w:color="auto"/>
                    <w:left w:val="none" w:sz="0" w:space="0" w:color="auto"/>
                    <w:bottom w:val="none" w:sz="0" w:space="0" w:color="auto"/>
                    <w:right w:val="none" w:sz="0" w:space="0" w:color="auto"/>
                  </w:divBdr>
                  <w:divsChild>
                    <w:div w:id="1075932477">
                      <w:marLeft w:val="0"/>
                      <w:marRight w:val="0"/>
                      <w:marTop w:val="0"/>
                      <w:marBottom w:val="0"/>
                      <w:divBdr>
                        <w:top w:val="none" w:sz="0" w:space="0" w:color="auto"/>
                        <w:left w:val="none" w:sz="0" w:space="0" w:color="auto"/>
                        <w:bottom w:val="none" w:sz="0" w:space="0" w:color="auto"/>
                        <w:right w:val="none" w:sz="0" w:space="0" w:color="auto"/>
                      </w:divBdr>
                      <w:divsChild>
                        <w:div w:id="482090278">
                          <w:marLeft w:val="0"/>
                          <w:marRight w:val="0"/>
                          <w:marTop w:val="0"/>
                          <w:marBottom w:val="0"/>
                          <w:divBdr>
                            <w:top w:val="none" w:sz="0" w:space="0" w:color="auto"/>
                            <w:left w:val="none" w:sz="0" w:space="0" w:color="auto"/>
                            <w:bottom w:val="none" w:sz="0" w:space="0" w:color="auto"/>
                            <w:right w:val="none" w:sz="0" w:space="0" w:color="auto"/>
                          </w:divBdr>
                          <w:divsChild>
                            <w:div w:id="1875121247">
                              <w:marLeft w:val="0"/>
                              <w:marRight w:val="0"/>
                              <w:marTop w:val="0"/>
                              <w:marBottom w:val="0"/>
                              <w:divBdr>
                                <w:top w:val="none" w:sz="0" w:space="0" w:color="auto"/>
                                <w:left w:val="none" w:sz="0" w:space="0" w:color="auto"/>
                                <w:bottom w:val="none" w:sz="0" w:space="0" w:color="auto"/>
                                <w:right w:val="none" w:sz="0" w:space="0" w:color="auto"/>
                              </w:divBdr>
                              <w:divsChild>
                                <w:div w:id="151485408">
                                  <w:marLeft w:val="0"/>
                                  <w:marRight w:val="0"/>
                                  <w:marTop w:val="0"/>
                                  <w:marBottom w:val="0"/>
                                  <w:divBdr>
                                    <w:top w:val="none" w:sz="0" w:space="0" w:color="auto"/>
                                    <w:left w:val="none" w:sz="0" w:space="0" w:color="auto"/>
                                    <w:bottom w:val="none" w:sz="0" w:space="0" w:color="auto"/>
                                    <w:right w:val="none" w:sz="0" w:space="0" w:color="auto"/>
                                  </w:divBdr>
                                  <w:divsChild>
                                    <w:div w:id="5734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727167">
          <w:marLeft w:val="0"/>
          <w:marRight w:val="0"/>
          <w:marTop w:val="0"/>
          <w:marBottom w:val="0"/>
          <w:divBdr>
            <w:top w:val="none" w:sz="0" w:space="0" w:color="auto"/>
            <w:left w:val="none" w:sz="0" w:space="0" w:color="auto"/>
            <w:bottom w:val="none" w:sz="0" w:space="0" w:color="auto"/>
            <w:right w:val="none" w:sz="0" w:space="0" w:color="auto"/>
          </w:divBdr>
          <w:divsChild>
            <w:div w:id="1206990290">
              <w:marLeft w:val="0"/>
              <w:marRight w:val="0"/>
              <w:marTop w:val="0"/>
              <w:marBottom w:val="0"/>
              <w:divBdr>
                <w:top w:val="none" w:sz="0" w:space="0" w:color="auto"/>
                <w:left w:val="none" w:sz="0" w:space="0" w:color="auto"/>
                <w:bottom w:val="none" w:sz="0" w:space="0" w:color="auto"/>
                <w:right w:val="none" w:sz="0" w:space="0" w:color="auto"/>
              </w:divBdr>
              <w:divsChild>
                <w:div w:id="2138571655">
                  <w:marLeft w:val="0"/>
                  <w:marRight w:val="0"/>
                  <w:marTop w:val="0"/>
                  <w:marBottom w:val="0"/>
                  <w:divBdr>
                    <w:top w:val="none" w:sz="0" w:space="0" w:color="auto"/>
                    <w:left w:val="none" w:sz="0" w:space="0" w:color="auto"/>
                    <w:bottom w:val="none" w:sz="0" w:space="0" w:color="auto"/>
                    <w:right w:val="none" w:sz="0" w:space="0" w:color="auto"/>
                  </w:divBdr>
                  <w:divsChild>
                    <w:div w:id="431973209">
                      <w:marLeft w:val="0"/>
                      <w:marRight w:val="0"/>
                      <w:marTop w:val="0"/>
                      <w:marBottom w:val="0"/>
                      <w:divBdr>
                        <w:top w:val="none" w:sz="0" w:space="0" w:color="auto"/>
                        <w:left w:val="none" w:sz="0" w:space="0" w:color="auto"/>
                        <w:bottom w:val="none" w:sz="0" w:space="0" w:color="auto"/>
                        <w:right w:val="none" w:sz="0" w:space="0" w:color="auto"/>
                      </w:divBdr>
                      <w:divsChild>
                        <w:div w:id="21169259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sChild>
                                <w:div w:id="1750469526">
                                  <w:marLeft w:val="0"/>
                                  <w:marRight w:val="0"/>
                                  <w:marTop w:val="0"/>
                                  <w:marBottom w:val="0"/>
                                  <w:divBdr>
                                    <w:top w:val="none" w:sz="0" w:space="0" w:color="auto"/>
                                    <w:left w:val="none" w:sz="0" w:space="0" w:color="auto"/>
                                    <w:bottom w:val="none" w:sz="0" w:space="0" w:color="auto"/>
                                    <w:right w:val="none" w:sz="0" w:space="0" w:color="auto"/>
                                  </w:divBdr>
                                  <w:divsChild>
                                    <w:div w:id="454063442">
                                      <w:marLeft w:val="0"/>
                                      <w:marRight w:val="0"/>
                                      <w:marTop w:val="0"/>
                                      <w:marBottom w:val="0"/>
                                      <w:divBdr>
                                        <w:top w:val="none" w:sz="0" w:space="0" w:color="auto"/>
                                        <w:left w:val="none" w:sz="0" w:space="0" w:color="auto"/>
                                        <w:bottom w:val="none" w:sz="0" w:space="0" w:color="auto"/>
                                        <w:right w:val="none" w:sz="0" w:space="0" w:color="auto"/>
                                      </w:divBdr>
                                      <w:divsChild>
                                        <w:div w:id="135420435">
                                          <w:marLeft w:val="0"/>
                                          <w:marRight w:val="0"/>
                                          <w:marTop w:val="0"/>
                                          <w:marBottom w:val="0"/>
                                          <w:divBdr>
                                            <w:top w:val="none" w:sz="0" w:space="0" w:color="auto"/>
                                            <w:left w:val="none" w:sz="0" w:space="0" w:color="auto"/>
                                            <w:bottom w:val="none" w:sz="0" w:space="0" w:color="auto"/>
                                            <w:right w:val="none" w:sz="0" w:space="0" w:color="auto"/>
                                          </w:divBdr>
                                          <w:divsChild>
                                            <w:div w:id="422576465">
                                              <w:marLeft w:val="0"/>
                                              <w:marRight w:val="0"/>
                                              <w:marTop w:val="0"/>
                                              <w:marBottom w:val="0"/>
                                              <w:divBdr>
                                                <w:top w:val="none" w:sz="0" w:space="0" w:color="auto"/>
                                                <w:left w:val="none" w:sz="0" w:space="0" w:color="auto"/>
                                                <w:bottom w:val="none" w:sz="0" w:space="0" w:color="auto"/>
                                                <w:right w:val="none" w:sz="0" w:space="0" w:color="auto"/>
                                              </w:divBdr>
                                              <w:divsChild>
                                                <w:div w:id="144781349">
                                                  <w:marLeft w:val="0"/>
                                                  <w:marRight w:val="0"/>
                                                  <w:marTop w:val="0"/>
                                                  <w:marBottom w:val="0"/>
                                                  <w:divBdr>
                                                    <w:top w:val="none" w:sz="0" w:space="0" w:color="auto"/>
                                                    <w:left w:val="none" w:sz="0" w:space="0" w:color="auto"/>
                                                    <w:bottom w:val="none" w:sz="0" w:space="0" w:color="auto"/>
                                                    <w:right w:val="none" w:sz="0" w:space="0" w:color="auto"/>
                                                  </w:divBdr>
                                                  <w:divsChild>
                                                    <w:div w:id="965160039">
                                                      <w:marLeft w:val="0"/>
                                                      <w:marRight w:val="0"/>
                                                      <w:marTop w:val="0"/>
                                                      <w:marBottom w:val="0"/>
                                                      <w:divBdr>
                                                        <w:top w:val="none" w:sz="0" w:space="0" w:color="auto"/>
                                                        <w:left w:val="none" w:sz="0" w:space="0" w:color="auto"/>
                                                        <w:bottom w:val="none" w:sz="0" w:space="0" w:color="auto"/>
                                                        <w:right w:val="none" w:sz="0" w:space="0" w:color="auto"/>
                                                      </w:divBdr>
                                                      <w:divsChild>
                                                        <w:div w:id="1867525758">
                                                          <w:marLeft w:val="0"/>
                                                          <w:marRight w:val="0"/>
                                                          <w:marTop w:val="0"/>
                                                          <w:marBottom w:val="0"/>
                                                          <w:divBdr>
                                                            <w:top w:val="none" w:sz="0" w:space="0" w:color="auto"/>
                                                            <w:left w:val="none" w:sz="0" w:space="0" w:color="auto"/>
                                                            <w:bottom w:val="none" w:sz="0" w:space="0" w:color="auto"/>
                                                            <w:right w:val="none" w:sz="0" w:space="0" w:color="auto"/>
                                                          </w:divBdr>
                                                          <w:divsChild>
                                                            <w:div w:id="2033414011">
                                                              <w:marLeft w:val="0"/>
                                                              <w:marRight w:val="0"/>
                                                              <w:marTop w:val="0"/>
                                                              <w:marBottom w:val="0"/>
                                                              <w:divBdr>
                                                                <w:top w:val="none" w:sz="0" w:space="0" w:color="auto"/>
                                                                <w:left w:val="none" w:sz="0" w:space="0" w:color="auto"/>
                                                                <w:bottom w:val="none" w:sz="0" w:space="0" w:color="auto"/>
                                                                <w:right w:val="none" w:sz="0" w:space="0" w:color="auto"/>
                                                              </w:divBdr>
                                                              <w:divsChild>
                                                                <w:div w:id="1826437390">
                                                                  <w:marLeft w:val="0"/>
                                                                  <w:marRight w:val="0"/>
                                                                  <w:marTop w:val="0"/>
                                                                  <w:marBottom w:val="0"/>
                                                                  <w:divBdr>
                                                                    <w:top w:val="none" w:sz="0" w:space="0" w:color="auto"/>
                                                                    <w:left w:val="none" w:sz="0" w:space="0" w:color="auto"/>
                                                                    <w:bottom w:val="none" w:sz="0" w:space="0" w:color="auto"/>
                                                                    <w:right w:val="none" w:sz="0" w:space="0" w:color="auto"/>
                                                                  </w:divBdr>
                                                                  <w:divsChild>
                                                                    <w:div w:id="18722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6370">
                                                              <w:marLeft w:val="0"/>
                                                              <w:marRight w:val="0"/>
                                                              <w:marTop w:val="0"/>
                                                              <w:marBottom w:val="0"/>
                                                              <w:divBdr>
                                                                <w:top w:val="none" w:sz="0" w:space="0" w:color="auto"/>
                                                                <w:left w:val="none" w:sz="0" w:space="0" w:color="auto"/>
                                                                <w:bottom w:val="none" w:sz="0" w:space="0" w:color="auto"/>
                                                                <w:right w:val="none" w:sz="0" w:space="0" w:color="auto"/>
                                                              </w:divBdr>
                                                              <w:divsChild>
                                                                <w:div w:id="1251430814">
                                                                  <w:marLeft w:val="0"/>
                                                                  <w:marRight w:val="0"/>
                                                                  <w:marTop w:val="0"/>
                                                                  <w:marBottom w:val="0"/>
                                                                  <w:divBdr>
                                                                    <w:top w:val="none" w:sz="0" w:space="0" w:color="auto"/>
                                                                    <w:left w:val="none" w:sz="0" w:space="0" w:color="auto"/>
                                                                    <w:bottom w:val="none" w:sz="0" w:space="0" w:color="auto"/>
                                                                    <w:right w:val="none" w:sz="0" w:space="0" w:color="auto"/>
                                                                  </w:divBdr>
                                                                  <w:divsChild>
                                                                    <w:div w:id="1447579926">
                                                                      <w:marLeft w:val="0"/>
                                                                      <w:marRight w:val="0"/>
                                                                      <w:marTop w:val="0"/>
                                                                      <w:marBottom w:val="0"/>
                                                                      <w:divBdr>
                                                                        <w:top w:val="none" w:sz="0" w:space="0" w:color="auto"/>
                                                                        <w:left w:val="none" w:sz="0" w:space="0" w:color="auto"/>
                                                                        <w:bottom w:val="none" w:sz="0" w:space="0" w:color="auto"/>
                                                                        <w:right w:val="none" w:sz="0" w:space="0" w:color="auto"/>
                                                                      </w:divBdr>
                                                                      <w:divsChild>
                                                                        <w:div w:id="19869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4965-669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pcont.org.br/wpconten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vid.bolonio@upm.es" TargetMode="External"/><Relationship Id="rId4" Type="http://schemas.openxmlformats.org/officeDocument/2006/relationships/settings" Target="settings.xml"/><Relationship Id="rId9" Type="http://schemas.openxmlformats.org/officeDocument/2006/relationships/hyperlink" Target="https://orcid.org/0000-0002-8170-544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D5005-DC77-4BFF-B0F3-661CEAE3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10794</Words>
  <Characters>61530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SAHAR ROSTAMI</dc:creator>
  <cp:lastModifiedBy>AMAN DHINGRA</cp:lastModifiedBy>
  <cp:revision>2</cp:revision>
  <dcterms:created xsi:type="dcterms:W3CDTF">2026-06-26T06:25:00Z</dcterms:created>
  <dcterms:modified xsi:type="dcterms:W3CDTF">2026-06-26T06:25:00Z</dcterms:modified>
</cp:coreProperties>
</file>